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5F7A" w14:textId="77777777" w:rsidR="001F4B4C" w:rsidRDefault="001F4B4C" w:rsidP="00412886">
      <w:pPr>
        <w:rPr>
          <w:rFonts w:asciiTheme="majorHAnsi" w:eastAsiaTheme="majorEastAsia" w:hAnsiTheme="majorHAnsi" w:cstheme="majorBidi"/>
          <w:b/>
          <w:color w:val="00B0F0"/>
          <w:kern w:val="0"/>
          <w:sz w:val="28"/>
          <w:szCs w:val="18"/>
          <w:lang w:eastAsia="en-US"/>
        </w:rPr>
      </w:pPr>
    </w:p>
    <w:p w14:paraId="5C351600" w14:textId="330F7885" w:rsidR="0013292E" w:rsidRPr="00412886" w:rsidRDefault="0013292E" w:rsidP="001F4B4C">
      <w:pPr>
        <w:jc w:val="center"/>
        <w:rPr>
          <w:rFonts w:asciiTheme="majorHAnsi" w:eastAsiaTheme="majorEastAsia" w:hAnsiTheme="majorHAnsi" w:cstheme="majorBidi"/>
          <w:b/>
          <w:color w:val="00B0F0"/>
          <w:kern w:val="0"/>
          <w:sz w:val="28"/>
          <w:szCs w:val="18"/>
          <w:lang w:eastAsia="en-US"/>
        </w:rPr>
      </w:pPr>
      <w:r w:rsidRPr="00412886">
        <w:rPr>
          <w:rFonts w:asciiTheme="majorHAnsi" w:eastAsiaTheme="majorEastAsia" w:hAnsiTheme="majorHAnsi" w:cstheme="majorBidi"/>
          <w:b/>
          <w:color w:val="00B0F0"/>
          <w:kern w:val="0"/>
          <w:sz w:val="28"/>
          <w:szCs w:val="18"/>
          <w:lang w:eastAsia="en-US"/>
        </w:rPr>
        <w:t>Tax Strategy</w:t>
      </w:r>
    </w:p>
    <w:p w14:paraId="7B99E240" w14:textId="77777777" w:rsidR="0013292E" w:rsidRPr="00E50D08" w:rsidRDefault="0013292E" w:rsidP="0013292E">
      <w:pPr>
        <w:rPr>
          <w:rFonts w:ascii="Arial" w:hAnsi="Arial" w:cs="Arial"/>
          <w:b/>
          <w:sz w:val="18"/>
          <w:szCs w:val="18"/>
        </w:rPr>
      </w:pPr>
    </w:p>
    <w:p w14:paraId="3575D6DB" w14:textId="0E0004FB" w:rsidR="0013292E" w:rsidRPr="00E50D08" w:rsidRDefault="00190115" w:rsidP="0013292E">
      <w:pPr>
        <w:rPr>
          <w:rFonts w:ascii="Arial" w:hAnsi="Arial" w:cs="Arial"/>
          <w:sz w:val="18"/>
          <w:szCs w:val="18"/>
        </w:rPr>
      </w:pPr>
      <w:r w:rsidRPr="00190115">
        <w:rPr>
          <w:rFonts w:ascii="Arial" w:hAnsi="Arial" w:cs="Arial"/>
          <w:sz w:val="18"/>
          <w:szCs w:val="18"/>
        </w:rPr>
        <w:t>This Tax Strategy is formulated around our clear Tax Principles.</w:t>
      </w:r>
      <w:r>
        <w:t xml:space="preserve">  </w:t>
      </w:r>
      <w:r w:rsidR="0013292E" w:rsidRPr="00E50D08">
        <w:rPr>
          <w:rFonts w:ascii="Arial" w:hAnsi="Arial" w:cs="Arial"/>
          <w:sz w:val="18"/>
          <w:szCs w:val="18"/>
        </w:rPr>
        <w:t xml:space="preserve">These Tax Principles guide how we manage our tax affairs, for ourselves, our staff, suppliers, market counterparts and on behalf of our clients.  </w:t>
      </w:r>
      <w:r w:rsidR="00C63E45">
        <w:rPr>
          <w:rFonts w:ascii="Arial" w:hAnsi="Arial" w:cs="Arial"/>
          <w:sz w:val="18"/>
          <w:szCs w:val="18"/>
        </w:rPr>
        <w:t xml:space="preserve">The </w:t>
      </w:r>
      <w:r w:rsidR="0013292E">
        <w:rPr>
          <w:rFonts w:ascii="Arial" w:hAnsi="Arial" w:cs="Arial"/>
          <w:sz w:val="18"/>
          <w:szCs w:val="18"/>
        </w:rPr>
        <w:t xml:space="preserve">Bank </w:t>
      </w:r>
      <w:proofErr w:type="gramStart"/>
      <w:r w:rsidR="0013292E" w:rsidRPr="00E50D08">
        <w:rPr>
          <w:rFonts w:ascii="Arial" w:hAnsi="Arial" w:cs="Arial"/>
          <w:sz w:val="18"/>
          <w:szCs w:val="18"/>
        </w:rPr>
        <w:t>take</w:t>
      </w:r>
      <w:r w:rsidR="0013292E">
        <w:rPr>
          <w:rFonts w:ascii="Arial" w:hAnsi="Arial" w:cs="Arial"/>
          <w:sz w:val="18"/>
          <w:szCs w:val="18"/>
        </w:rPr>
        <w:t>s</w:t>
      </w:r>
      <w:r w:rsidR="0013292E" w:rsidRPr="00E50D08">
        <w:rPr>
          <w:rFonts w:ascii="Arial" w:hAnsi="Arial" w:cs="Arial"/>
          <w:sz w:val="18"/>
          <w:szCs w:val="18"/>
        </w:rPr>
        <w:t xml:space="preserve"> into account</w:t>
      </w:r>
      <w:proofErr w:type="gramEnd"/>
      <w:r w:rsidR="0013292E" w:rsidRPr="00E50D08">
        <w:rPr>
          <w:rFonts w:ascii="Arial" w:hAnsi="Arial" w:cs="Arial"/>
          <w:sz w:val="18"/>
          <w:szCs w:val="18"/>
        </w:rPr>
        <w:t xml:space="preserve"> our stakeholders, including governments and communities, when making decisions related to our tax affairs. Importantly, we play an important role on behalf of governments as collector of taxes in relation to payments made to our customers and staff. </w:t>
      </w:r>
    </w:p>
    <w:p w14:paraId="04C06069" w14:textId="77777777" w:rsidR="0013292E" w:rsidRPr="00E50D08" w:rsidRDefault="0013292E" w:rsidP="0013292E">
      <w:pPr>
        <w:rPr>
          <w:rFonts w:ascii="Arial" w:hAnsi="Arial" w:cs="Arial"/>
          <w:sz w:val="18"/>
          <w:szCs w:val="18"/>
        </w:rPr>
      </w:pPr>
    </w:p>
    <w:p w14:paraId="633F4F3E" w14:textId="41340E6B" w:rsidR="0013292E" w:rsidRPr="00E50D08" w:rsidRDefault="0013292E" w:rsidP="0013292E">
      <w:pPr>
        <w:rPr>
          <w:rFonts w:ascii="Arial" w:hAnsi="Arial" w:cs="Arial"/>
          <w:sz w:val="18"/>
          <w:szCs w:val="18"/>
        </w:rPr>
      </w:pPr>
      <w:r w:rsidRPr="00E50D08">
        <w:rPr>
          <w:rFonts w:ascii="Arial" w:hAnsi="Arial" w:cs="Arial"/>
          <w:sz w:val="18"/>
          <w:szCs w:val="18"/>
        </w:rPr>
        <w:t xml:space="preserve">This document sets out </w:t>
      </w:r>
      <w:r>
        <w:rPr>
          <w:rFonts w:ascii="Arial" w:hAnsi="Arial" w:cs="Arial"/>
          <w:sz w:val="18"/>
          <w:szCs w:val="18"/>
        </w:rPr>
        <w:t>SBI UK Ltd.</w:t>
      </w:r>
      <w:r w:rsidRPr="00E50D08">
        <w:rPr>
          <w:rFonts w:ascii="Arial" w:hAnsi="Arial" w:cs="Arial"/>
          <w:sz w:val="18"/>
          <w:szCs w:val="18"/>
        </w:rPr>
        <w:t>’s Tax Strategy as it relates to UK taxation and satisfies the requirement to publish a tax strategy under UK legislation, specifically Paragraph 22, Schedule 19 Finance Act 2016.  The document relates to the year ended 31 March 202</w:t>
      </w:r>
      <w:r w:rsidR="003F50C9">
        <w:rPr>
          <w:rFonts w:ascii="Arial" w:hAnsi="Arial" w:cs="Arial"/>
          <w:sz w:val="18"/>
          <w:szCs w:val="18"/>
        </w:rPr>
        <w:t>2</w:t>
      </w:r>
      <w:r w:rsidRPr="00E50D08">
        <w:rPr>
          <w:rFonts w:ascii="Arial" w:hAnsi="Arial" w:cs="Arial"/>
          <w:sz w:val="18"/>
          <w:szCs w:val="18"/>
        </w:rPr>
        <w:t xml:space="preserve">. </w:t>
      </w:r>
    </w:p>
    <w:p w14:paraId="0ECFF915" w14:textId="77777777" w:rsidR="0013292E" w:rsidRPr="00E50D08" w:rsidRDefault="0013292E" w:rsidP="0013292E">
      <w:pPr>
        <w:rPr>
          <w:rFonts w:ascii="Arial" w:hAnsi="Arial" w:cs="Arial"/>
          <w:sz w:val="18"/>
          <w:szCs w:val="18"/>
        </w:rPr>
      </w:pPr>
    </w:p>
    <w:p w14:paraId="5B936242" w14:textId="4AC368B2" w:rsidR="0013292E" w:rsidRPr="00E50D08" w:rsidRDefault="0013292E" w:rsidP="0013292E">
      <w:pPr>
        <w:rPr>
          <w:rFonts w:ascii="Arial" w:hAnsi="Arial" w:cs="Arial"/>
          <w:sz w:val="18"/>
          <w:szCs w:val="18"/>
        </w:rPr>
      </w:pPr>
      <w:r w:rsidRPr="00E50D08">
        <w:rPr>
          <w:rFonts w:ascii="Arial" w:hAnsi="Arial" w:cs="Arial"/>
          <w:sz w:val="18"/>
          <w:szCs w:val="18"/>
        </w:rPr>
        <w:t xml:space="preserve">The </w:t>
      </w:r>
      <w:r>
        <w:rPr>
          <w:rFonts w:ascii="Arial" w:hAnsi="Arial" w:cs="Arial"/>
          <w:sz w:val="18"/>
          <w:szCs w:val="18"/>
        </w:rPr>
        <w:t>SBI UK Ltd.</w:t>
      </w:r>
      <w:r w:rsidRPr="00E50D08">
        <w:rPr>
          <w:rFonts w:ascii="Arial" w:hAnsi="Arial" w:cs="Arial"/>
          <w:sz w:val="18"/>
          <w:szCs w:val="18"/>
        </w:rPr>
        <w:t xml:space="preserve"> Tax Strategy, and associated Tax Principles, have been approved by </w:t>
      </w:r>
      <w:r>
        <w:rPr>
          <w:rFonts w:ascii="Arial" w:hAnsi="Arial" w:cs="Arial"/>
          <w:sz w:val="18"/>
          <w:szCs w:val="18"/>
        </w:rPr>
        <w:t>SBI UK Ltd.</w:t>
      </w:r>
      <w:r w:rsidR="00C63E45">
        <w:rPr>
          <w:rFonts w:ascii="Arial" w:hAnsi="Arial" w:cs="Arial"/>
          <w:sz w:val="18"/>
          <w:szCs w:val="18"/>
        </w:rPr>
        <w:t xml:space="preserve">’s </w:t>
      </w:r>
      <w:r w:rsidRPr="00E50D08">
        <w:rPr>
          <w:rFonts w:ascii="Arial" w:hAnsi="Arial" w:cs="Arial"/>
          <w:sz w:val="18"/>
          <w:szCs w:val="18"/>
        </w:rPr>
        <w:t xml:space="preserve">Management Committee.  </w:t>
      </w:r>
    </w:p>
    <w:p w14:paraId="402D70B1" w14:textId="77777777" w:rsidR="0013292E" w:rsidRPr="00E50D08" w:rsidRDefault="0013292E" w:rsidP="0013292E">
      <w:pPr>
        <w:rPr>
          <w:rFonts w:ascii="Arial" w:hAnsi="Arial" w:cs="Arial"/>
          <w:sz w:val="18"/>
          <w:szCs w:val="18"/>
        </w:rPr>
      </w:pPr>
    </w:p>
    <w:p w14:paraId="2A4913AA" w14:textId="77777777" w:rsidR="0013292E" w:rsidRPr="00E50D08" w:rsidRDefault="0013292E" w:rsidP="0013292E">
      <w:pPr>
        <w:rPr>
          <w:rFonts w:ascii="Arial" w:hAnsi="Arial" w:cs="Arial"/>
          <w:b/>
          <w:i/>
          <w:sz w:val="24"/>
          <w:szCs w:val="24"/>
        </w:rPr>
      </w:pPr>
      <w:r w:rsidRPr="00E50D08">
        <w:rPr>
          <w:rFonts w:ascii="Arial" w:hAnsi="Arial" w:cs="Arial"/>
          <w:b/>
          <w:i/>
          <w:sz w:val="24"/>
          <w:szCs w:val="24"/>
        </w:rPr>
        <w:t xml:space="preserve">Tax Principles </w:t>
      </w:r>
    </w:p>
    <w:p w14:paraId="508420AC" w14:textId="77777777" w:rsidR="0013292E" w:rsidRPr="00E50D08" w:rsidRDefault="0013292E" w:rsidP="0013292E">
      <w:pPr>
        <w:rPr>
          <w:rFonts w:ascii="Arial" w:hAnsi="Arial" w:cs="Arial"/>
          <w:sz w:val="24"/>
          <w:szCs w:val="24"/>
        </w:rPr>
      </w:pPr>
    </w:p>
    <w:p w14:paraId="77E63DFF" w14:textId="7D169D36" w:rsidR="0013292E" w:rsidRPr="00E50D08" w:rsidRDefault="0013292E" w:rsidP="0013292E">
      <w:pPr>
        <w:rPr>
          <w:rFonts w:ascii="Arial" w:hAnsi="Arial" w:cs="Arial"/>
          <w:sz w:val="18"/>
          <w:szCs w:val="18"/>
        </w:rPr>
      </w:pPr>
      <w:r>
        <w:rPr>
          <w:rFonts w:ascii="Arial" w:hAnsi="Arial" w:cs="Arial"/>
          <w:sz w:val="18"/>
          <w:szCs w:val="18"/>
        </w:rPr>
        <w:t>Bank is</w:t>
      </w:r>
      <w:r w:rsidRPr="00E50D08">
        <w:rPr>
          <w:rFonts w:ascii="Arial" w:hAnsi="Arial" w:cs="Arial"/>
          <w:sz w:val="18"/>
          <w:szCs w:val="18"/>
        </w:rPr>
        <w:t xml:space="preserve"> signatories of HMRC’s Code of Practice on Taxation for </w:t>
      </w:r>
      <w:r w:rsidR="003F50C9" w:rsidRPr="00E50D08">
        <w:rPr>
          <w:rFonts w:ascii="Arial" w:hAnsi="Arial" w:cs="Arial"/>
          <w:sz w:val="18"/>
          <w:szCs w:val="18"/>
        </w:rPr>
        <w:t>Banks</w:t>
      </w:r>
      <w:r w:rsidRPr="00E50D08">
        <w:rPr>
          <w:rFonts w:ascii="Arial" w:hAnsi="Arial" w:cs="Arial"/>
          <w:sz w:val="18"/>
          <w:szCs w:val="18"/>
        </w:rPr>
        <w:t xml:space="preserve"> and our Tax Principles are framed in the spirit thereof. </w:t>
      </w:r>
    </w:p>
    <w:p w14:paraId="56E565D5" w14:textId="77777777" w:rsidR="0013292E" w:rsidRPr="00E50D08" w:rsidRDefault="0013292E" w:rsidP="0013292E">
      <w:pPr>
        <w:rPr>
          <w:rFonts w:ascii="Arial" w:hAnsi="Arial" w:cs="Arial"/>
          <w:sz w:val="18"/>
          <w:szCs w:val="18"/>
        </w:rPr>
      </w:pPr>
    </w:p>
    <w:p w14:paraId="39808282" w14:textId="77777777" w:rsidR="0013292E" w:rsidRPr="00E50D08" w:rsidRDefault="0013292E" w:rsidP="0013292E">
      <w:pPr>
        <w:pStyle w:val="ListParagraph"/>
        <w:numPr>
          <w:ilvl w:val="1"/>
          <w:numId w:val="12"/>
        </w:numPr>
        <w:rPr>
          <w:rFonts w:ascii="Arial" w:hAnsi="Arial" w:cs="Arial"/>
          <w:sz w:val="18"/>
          <w:szCs w:val="18"/>
        </w:rPr>
      </w:pPr>
      <w:r w:rsidRPr="00E50D08">
        <w:rPr>
          <w:rFonts w:ascii="Arial" w:hAnsi="Arial" w:cs="Arial"/>
          <w:sz w:val="18"/>
          <w:szCs w:val="18"/>
        </w:rPr>
        <w:t xml:space="preserve">Our taxation approach is aligned with our purpose and values, having regard to building long-term shareholder value and maintaining our reputation as a responsible taxpayer. </w:t>
      </w:r>
    </w:p>
    <w:p w14:paraId="121B7ECF" w14:textId="77777777" w:rsidR="0013292E" w:rsidRPr="00E50D08" w:rsidRDefault="0013292E" w:rsidP="0013292E">
      <w:pPr>
        <w:pStyle w:val="ListParagraph"/>
        <w:numPr>
          <w:ilvl w:val="1"/>
          <w:numId w:val="12"/>
        </w:numPr>
        <w:rPr>
          <w:rFonts w:ascii="Arial" w:hAnsi="Arial" w:cs="Arial"/>
          <w:sz w:val="18"/>
          <w:szCs w:val="18"/>
        </w:rPr>
      </w:pPr>
      <w:r>
        <w:rPr>
          <w:rFonts w:ascii="Arial" w:hAnsi="Arial" w:cs="Arial"/>
          <w:sz w:val="18"/>
          <w:szCs w:val="18"/>
        </w:rPr>
        <w:t>Bank complies</w:t>
      </w:r>
      <w:r w:rsidRPr="00E50D08">
        <w:rPr>
          <w:rFonts w:ascii="Arial" w:hAnsi="Arial" w:cs="Arial"/>
          <w:sz w:val="18"/>
          <w:szCs w:val="18"/>
        </w:rPr>
        <w:t xml:space="preserve"> with the spirit as well as the letter of tax laws and fully meet our tax obligations. </w:t>
      </w:r>
    </w:p>
    <w:p w14:paraId="43DC8CE9" w14:textId="77777777" w:rsidR="0013292E" w:rsidRPr="00E50D08" w:rsidRDefault="0013292E" w:rsidP="0013292E">
      <w:pPr>
        <w:pStyle w:val="ListParagraph"/>
        <w:numPr>
          <w:ilvl w:val="1"/>
          <w:numId w:val="12"/>
        </w:numPr>
        <w:rPr>
          <w:rFonts w:ascii="Arial" w:hAnsi="Arial" w:cs="Arial"/>
          <w:sz w:val="18"/>
          <w:szCs w:val="18"/>
        </w:rPr>
      </w:pPr>
      <w:r>
        <w:rPr>
          <w:rFonts w:ascii="Arial" w:hAnsi="Arial" w:cs="Arial"/>
          <w:sz w:val="18"/>
          <w:szCs w:val="18"/>
        </w:rPr>
        <w:t xml:space="preserve">Bank </w:t>
      </w:r>
      <w:r w:rsidRPr="00E50D08">
        <w:rPr>
          <w:rFonts w:ascii="Arial" w:hAnsi="Arial" w:cs="Arial"/>
          <w:sz w:val="18"/>
          <w:szCs w:val="18"/>
        </w:rPr>
        <w:t>ensure</w:t>
      </w:r>
      <w:r>
        <w:rPr>
          <w:rFonts w:ascii="Arial" w:hAnsi="Arial" w:cs="Arial"/>
          <w:sz w:val="18"/>
          <w:szCs w:val="18"/>
        </w:rPr>
        <w:t>s</w:t>
      </w:r>
      <w:r w:rsidRPr="00E50D08">
        <w:rPr>
          <w:rFonts w:ascii="Arial" w:hAnsi="Arial" w:cs="Arial"/>
          <w:sz w:val="18"/>
          <w:szCs w:val="18"/>
        </w:rPr>
        <w:t xml:space="preserve"> that the tax risk appetite remains low and that any inherent tax risks are mitigated expeditiously. </w:t>
      </w:r>
    </w:p>
    <w:p w14:paraId="7F16ABF2" w14:textId="77777777" w:rsidR="0013292E" w:rsidRPr="00E50D08" w:rsidRDefault="0013292E" w:rsidP="0013292E">
      <w:pPr>
        <w:pStyle w:val="ListParagraph"/>
        <w:numPr>
          <w:ilvl w:val="1"/>
          <w:numId w:val="12"/>
        </w:numPr>
        <w:rPr>
          <w:rFonts w:ascii="Arial" w:hAnsi="Arial" w:cs="Arial"/>
          <w:sz w:val="18"/>
          <w:szCs w:val="18"/>
        </w:rPr>
      </w:pPr>
      <w:r>
        <w:rPr>
          <w:rFonts w:ascii="Arial" w:hAnsi="Arial" w:cs="Arial"/>
          <w:sz w:val="18"/>
          <w:szCs w:val="18"/>
        </w:rPr>
        <w:t xml:space="preserve">Bank </w:t>
      </w:r>
      <w:r w:rsidRPr="00E50D08">
        <w:rPr>
          <w:rFonts w:ascii="Arial" w:hAnsi="Arial" w:cs="Arial"/>
          <w:sz w:val="18"/>
          <w:szCs w:val="18"/>
        </w:rPr>
        <w:t>do</w:t>
      </w:r>
      <w:r>
        <w:rPr>
          <w:rFonts w:ascii="Arial" w:hAnsi="Arial" w:cs="Arial"/>
          <w:sz w:val="18"/>
          <w:szCs w:val="18"/>
        </w:rPr>
        <w:t>es</w:t>
      </w:r>
      <w:r w:rsidRPr="00E50D08">
        <w:rPr>
          <w:rFonts w:ascii="Arial" w:hAnsi="Arial" w:cs="Arial"/>
          <w:sz w:val="18"/>
          <w:szCs w:val="18"/>
        </w:rPr>
        <w:t xml:space="preserve"> not engage in tax planning other than that which supports our genuine commercial activity. </w:t>
      </w:r>
    </w:p>
    <w:p w14:paraId="23CF52EF" w14:textId="77777777" w:rsidR="0013292E" w:rsidRPr="00E50D08" w:rsidRDefault="0013292E" w:rsidP="0013292E">
      <w:pPr>
        <w:rPr>
          <w:rFonts w:ascii="Arial" w:hAnsi="Arial" w:cs="Arial"/>
          <w:sz w:val="18"/>
          <w:szCs w:val="18"/>
        </w:rPr>
      </w:pPr>
    </w:p>
    <w:p w14:paraId="63AD6394" w14:textId="77777777" w:rsidR="0013292E" w:rsidRPr="00E50D08" w:rsidRDefault="0013292E" w:rsidP="0013292E">
      <w:pPr>
        <w:rPr>
          <w:rFonts w:ascii="Arial" w:hAnsi="Arial" w:cs="Arial"/>
          <w:b/>
          <w:iCs/>
          <w:sz w:val="24"/>
          <w:szCs w:val="24"/>
        </w:rPr>
      </w:pPr>
      <w:r w:rsidRPr="00E50D08">
        <w:rPr>
          <w:rFonts w:ascii="Arial" w:hAnsi="Arial" w:cs="Arial"/>
          <w:b/>
          <w:iCs/>
          <w:sz w:val="24"/>
          <w:szCs w:val="24"/>
        </w:rPr>
        <w:t xml:space="preserve">Governance and Tax Risk Management </w:t>
      </w:r>
    </w:p>
    <w:p w14:paraId="0DD20CEB" w14:textId="77777777" w:rsidR="0013292E" w:rsidRPr="00E50D08" w:rsidRDefault="0013292E" w:rsidP="0013292E">
      <w:pPr>
        <w:rPr>
          <w:rFonts w:ascii="Arial" w:hAnsi="Arial" w:cs="Arial"/>
          <w:sz w:val="18"/>
          <w:szCs w:val="18"/>
        </w:rPr>
      </w:pPr>
    </w:p>
    <w:p w14:paraId="4E465947" w14:textId="77777777" w:rsidR="0013292E" w:rsidRPr="00E50D08" w:rsidRDefault="0013292E" w:rsidP="0013292E">
      <w:pPr>
        <w:rPr>
          <w:rFonts w:ascii="Arial" w:hAnsi="Arial" w:cs="Arial"/>
          <w:sz w:val="18"/>
          <w:szCs w:val="18"/>
        </w:rPr>
      </w:pPr>
      <w:r w:rsidRPr="00E50D08">
        <w:rPr>
          <w:rFonts w:ascii="Arial" w:hAnsi="Arial" w:cs="Arial"/>
          <w:sz w:val="18"/>
          <w:szCs w:val="18"/>
        </w:rPr>
        <w:t xml:space="preserve">The following apply in respect of the way </w:t>
      </w:r>
      <w:r>
        <w:rPr>
          <w:rFonts w:ascii="Arial" w:hAnsi="Arial" w:cs="Arial"/>
          <w:sz w:val="18"/>
          <w:szCs w:val="18"/>
        </w:rPr>
        <w:t>SBI UK Ltd.</w:t>
      </w:r>
      <w:r w:rsidRPr="00E50D08">
        <w:rPr>
          <w:rFonts w:ascii="Arial" w:hAnsi="Arial" w:cs="Arial"/>
          <w:sz w:val="18"/>
          <w:szCs w:val="18"/>
        </w:rPr>
        <w:t xml:space="preserve"> attends to its tax affairs, the risks associated with its tax affairs and the management of the relationship with HMRC. </w:t>
      </w:r>
    </w:p>
    <w:p w14:paraId="7BDBE4B0" w14:textId="77777777" w:rsidR="0013292E" w:rsidRPr="00E50D08" w:rsidRDefault="0013292E" w:rsidP="0013292E">
      <w:pPr>
        <w:rPr>
          <w:rFonts w:ascii="Arial" w:hAnsi="Arial" w:cs="Arial"/>
          <w:sz w:val="18"/>
          <w:szCs w:val="18"/>
        </w:rPr>
      </w:pPr>
    </w:p>
    <w:p w14:paraId="3DE1235B" w14:textId="77777777" w:rsidR="0013292E" w:rsidRPr="00E50D08" w:rsidRDefault="0013292E" w:rsidP="0013292E">
      <w:pPr>
        <w:pStyle w:val="ListParagraph"/>
        <w:numPr>
          <w:ilvl w:val="0"/>
          <w:numId w:val="23"/>
        </w:numPr>
        <w:rPr>
          <w:rFonts w:ascii="Arial" w:hAnsi="Arial" w:cs="Arial"/>
          <w:sz w:val="18"/>
          <w:szCs w:val="18"/>
        </w:rPr>
      </w:pPr>
      <w:r>
        <w:rPr>
          <w:rFonts w:ascii="Arial" w:hAnsi="Arial" w:cs="Arial"/>
          <w:sz w:val="18"/>
          <w:szCs w:val="18"/>
        </w:rPr>
        <w:t>SBI UK Ltd.</w:t>
      </w:r>
      <w:r w:rsidRPr="00E50D08">
        <w:rPr>
          <w:rFonts w:ascii="Arial" w:hAnsi="Arial" w:cs="Arial"/>
          <w:sz w:val="18"/>
          <w:szCs w:val="18"/>
        </w:rPr>
        <w:t xml:space="preserve">’s Board of Directors and the Management Committee of the Bank are accountable for the Tax Principles and governance thereof. </w:t>
      </w:r>
    </w:p>
    <w:p w14:paraId="011637CC" w14:textId="77777777" w:rsidR="0013292E" w:rsidRPr="00E50D08" w:rsidRDefault="0013292E" w:rsidP="0013292E">
      <w:pPr>
        <w:pStyle w:val="ListParagraph"/>
        <w:numPr>
          <w:ilvl w:val="0"/>
          <w:numId w:val="23"/>
        </w:numPr>
        <w:rPr>
          <w:rFonts w:ascii="Arial" w:hAnsi="Arial" w:cs="Arial"/>
          <w:sz w:val="18"/>
          <w:szCs w:val="18"/>
        </w:rPr>
      </w:pPr>
      <w:r w:rsidRPr="00E50D08">
        <w:rPr>
          <w:rFonts w:ascii="Arial" w:hAnsi="Arial" w:cs="Arial"/>
          <w:sz w:val="18"/>
          <w:szCs w:val="18"/>
        </w:rPr>
        <w:t xml:space="preserve">The Senior Management of </w:t>
      </w:r>
      <w:r>
        <w:rPr>
          <w:rFonts w:ascii="Arial" w:hAnsi="Arial" w:cs="Arial"/>
          <w:sz w:val="18"/>
          <w:szCs w:val="18"/>
        </w:rPr>
        <w:t>SBI UK Ltd.</w:t>
      </w:r>
      <w:r w:rsidRPr="00E50D08">
        <w:rPr>
          <w:rFonts w:ascii="Arial" w:hAnsi="Arial" w:cs="Arial"/>
          <w:sz w:val="18"/>
          <w:szCs w:val="18"/>
        </w:rPr>
        <w:t xml:space="preserve"> are responsible for establishing and maintaining appropriate processes to ensure adherence with the Tax Principles in business decision-making. </w:t>
      </w:r>
    </w:p>
    <w:p w14:paraId="4C674980" w14:textId="77777777" w:rsidR="0013292E" w:rsidRPr="00E50D08" w:rsidRDefault="0013292E" w:rsidP="0013292E">
      <w:pPr>
        <w:pStyle w:val="ListParagraph"/>
        <w:numPr>
          <w:ilvl w:val="0"/>
          <w:numId w:val="23"/>
        </w:numPr>
        <w:rPr>
          <w:rFonts w:ascii="Arial" w:hAnsi="Arial" w:cs="Arial"/>
          <w:sz w:val="18"/>
          <w:szCs w:val="18"/>
        </w:rPr>
      </w:pPr>
      <w:r>
        <w:rPr>
          <w:rFonts w:ascii="Arial" w:hAnsi="Arial" w:cs="Arial"/>
          <w:sz w:val="18"/>
          <w:szCs w:val="18"/>
        </w:rPr>
        <w:t xml:space="preserve">Bank </w:t>
      </w:r>
      <w:r w:rsidRPr="00E50D08">
        <w:rPr>
          <w:rFonts w:ascii="Arial" w:hAnsi="Arial" w:cs="Arial"/>
          <w:sz w:val="18"/>
          <w:szCs w:val="18"/>
        </w:rPr>
        <w:t>maintain</w:t>
      </w:r>
      <w:r>
        <w:rPr>
          <w:rFonts w:ascii="Arial" w:hAnsi="Arial" w:cs="Arial"/>
          <w:sz w:val="18"/>
          <w:szCs w:val="18"/>
        </w:rPr>
        <w:t>s</w:t>
      </w:r>
      <w:r w:rsidRPr="00E50D08">
        <w:rPr>
          <w:rFonts w:ascii="Arial" w:hAnsi="Arial" w:cs="Arial"/>
          <w:sz w:val="18"/>
          <w:szCs w:val="18"/>
        </w:rPr>
        <w:t xml:space="preserve"> effective internal controls over our tax affairs and have clear lines of accountability.  All tax management is subject to a robust and regular review and approval process. </w:t>
      </w:r>
    </w:p>
    <w:p w14:paraId="317B9CC7" w14:textId="77777777" w:rsidR="0013292E" w:rsidRPr="00E50D08" w:rsidRDefault="0013292E" w:rsidP="0013292E">
      <w:pPr>
        <w:rPr>
          <w:rFonts w:ascii="Arial" w:hAnsi="Arial" w:cs="Arial"/>
          <w:b/>
          <w:i/>
          <w:sz w:val="18"/>
          <w:szCs w:val="18"/>
        </w:rPr>
      </w:pPr>
    </w:p>
    <w:p w14:paraId="6E3A4519" w14:textId="77777777" w:rsidR="0013292E" w:rsidRPr="00E50D08" w:rsidRDefault="0013292E" w:rsidP="0013292E">
      <w:pPr>
        <w:spacing w:after="240"/>
        <w:rPr>
          <w:rFonts w:ascii="Arial" w:hAnsi="Arial" w:cs="Arial"/>
          <w:sz w:val="18"/>
          <w:szCs w:val="18"/>
        </w:rPr>
      </w:pPr>
      <w:r>
        <w:rPr>
          <w:rFonts w:ascii="Arial" w:hAnsi="Arial" w:cs="Arial"/>
          <w:sz w:val="18"/>
          <w:szCs w:val="18"/>
        </w:rPr>
        <w:t>Bank has</w:t>
      </w:r>
      <w:r w:rsidRPr="00E50D08">
        <w:rPr>
          <w:rFonts w:ascii="Arial" w:hAnsi="Arial" w:cs="Arial"/>
          <w:sz w:val="18"/>
          <w:szCs w:val="18"/>
        </w:rPr>
        <w:t xml:space="preserve"> a well-resourced Finance Team and clearly assigned tax-related responsibilities for our finance professionals.  Such individuals have a strong understanding of the overall business operations to ensure completeness of information in tax filings.  </w:t>
      </w:r>
    </w:p>
    <w:p w14:paraId="4C79C2DF" w14:textId="77777777" w:rsidR="0013292E" w:rsidRPr="00E50D08" w:rsidRDefault="0013292E" w:rsidP="0013292E">
      <w:pPr>
        <w:spacing w:after="240"/>
        <w:rPr>
          <w:rFonts w:ascii="Arial" w:hAnsi="Arial" w:cs="Arial"/>
          <w:sz w:val="18"/>
          <w:szCs w:val="18"/>
        </w:rPr>
      </w:pPr>
      <w:r w:rsidRPr="00E50D08">
        <w:rPr>
          <w:rFonts w:ascii="Arial" w:hAnsi="Arial" w:cs="Arial"/>
          <w:sz w:val="18"/>
          <w:szCs w:val="18"/>
        </w:rPr>
        <w:t xml:space="preserve">The appropriate use of external tax resources and advisers is a key part of the management of our tax risk.  Advisers are engaged to perform technical tax work, to provide opinions and deliver tax filings on our behalf. </w:t>
      </w:r>
    </w:p>
    <w:p w14:paraId="7635C956" w14:textId="77777777" w:rsidR="0013292E" w:rsidRPr="00E50D08" w:rsidRDefault="0013292E" w:rsidP="0013292E">
      <w:pPr>
        <w:rPr>
          <w:rFonts w:ascii="Arial" w:hAnsi="Arial" w:cs="Arial"/>
          <w:sz w:val="18"/>
          <w:szCs w:val="18"/>
        </w:rPr>
      </w:pPr>
    </w:p>
    <w:p w14:paraId="0879F0C4" w14:textId="77777777" w:rsidR="0013292E" w:rsidRPr="00E50D08" w:rsidRDefault="0013292E" w:rsidP="0013292E">
      <w:pPr>
        <w:rPr>
          <w:rFonts w:ascii="Arial" w:hAnsi="Arial" w:cs="Arial"/>
          <w:sz w:val="18"/>
          <w:szCs w:val="18"/>
        </w:rPr>
      </w:pPr>
      <w:r w:rsidRPr="00E50D08">
        <w:rPr>
          <w:rFonts w:ascii="Arial" w:hAnsi="Arial" w:cs="Arial"/>
          <w:sz w:val="18"/>
          <w:szCs w:val="18"/>
        </w:rPr>
        <w:t xml:space="preserve">In addition, </w:t>
      </w:r>
      <w:r>
        <w:rPr>
          <w:rFonts w:ascii="Arial" w:hAnsi="Arial" w:cs="Arial"/>
          <w:sz w:val="18"/>
          <w:szCs w:val="18"/>
        </w:rPr>
        <w:t>SBI UK Ltd. is</w:t>
      </w:r>
      <w:r w:rsidRPr="00E50D08">
        <w:rPr>
          <w:rFonts w:ascii="Arial" w:hAnsi="Arial" w:cs="Arial"/>
          <w:sz w:val="18"/>
          <w:szCs w:val="18"/>
        </w:rPr>
        <w:t xml:space="preserve"> committed to combating financial crime including, money laundering and the facilitation of tax evasion. </w:t>
      </w:r>
    </w:p>
    <w:p w14:paraId="491640E1" w14:textId="77777777" w:rsidR="0013292E" w:rsidRPr="00E50D08" w:rsidRDefault="0013292E" w:rsidP="0013292E">
      <w:pPr>
        <w:rPr>
          <w:rFonts w:ascii="Arial" w:hAnsi="Arial" w:cs="Arial"/>
          <w:sz w:val="18"/>
          <w:szCs w:val="18"/>
        </w:rPr>
      </w:pPr>
    </w:p>
    <w:p w14:paraId="42D418B9" w14:textId="77777777" w:rsidR="00BF60F6" w:rsidRDefault="00BF60F6">
      <w:pPr>
        <w:spacing w:after="160" w:line="259" w:lineRule="auto"/>
        <w:rPr>
          <w:rFonts w:ascii="Arial" w:hAnsi="Arial" w:cs="Arial"/>
          <w:b/>
          <w:iCs/>
          <w:sz w:val="24"/>
          <w:szCs w:val="24"/>
        </w:rPr>
      </w:pPr>
      <w:r>
        <w:rPr>
          <w:rFonts w:ascii="Arial" w:hAnsi="Arial" w:cs="Arial"/>
          <w:b/>
          <w:iCs/>
          <w:sz w:val="24"/>
          <w:szCs w:val="24"/>
        </w:rPr>
        <w:br w:type="page"/>
      </w:r>
    </w:p>
    <w:p w14:paraId="75C3E1FC" w14:textId="7FC4FABD" w:rsidR="0013292E" w:rsidRPr="00E50D08" w:rsidRDefault="0013292E" w:rsidP="0013292E">
      <w:pPr>
        <w:rPr>
          <w:rFonts w:ascii="Arial" w:hAnsi="Arial" w:cs="Arial"/>
          <w:b/>
          <w:iCs/>
          <w:sz w:val="24"/>
          <w:szCs w:val="24"/>
        </w:rPr>
      </w:pPr>
      <w:r w:rsidRPr="00E50D08">
        <w:rPr>
          <w:rFonts w:ascii="Arial" w:hAnsi="Arial" w:cs="Arial"/>
          <w:b/>
          <w:iCs/>
          <w:sz w:val="24"/>
          <w:szCs w:val="24"/>
        </w:rPr>
        <w:lastRenderedPageBreak/>
        <w:t>Attitude to tax planning</w:t>
      </w:r>
    </w:p>
    <w:p w14:paraId="76C1701D" w14:textId="77777777" w:rsidR="0013292E" w:rsidRPr="00E50D08" w:rsidRDefault="0013292E" w:rsidP="0013292E">
      <w:pPr>
        <w:rPr>
          <w:rFonts w:ascii="Arial" w:hAnsi="Arial" w:cs="Arial"/>
          <w:b/>
          <w:i/>
          <w:sz w:val="18"/>
          <w:szCs w:val="18"/>
        </w:rPr>
      </w:pPr>
    </w:p>
    <w:p w14:paraId="75F6F434" w14:textId="77777777" w:rsidR="0013292E" w:rsidRPr="00E50D08" w:rsidRDefault="0013292E" w:rsidP="0013292E">
      <w:pPr>
        <w:rPr>
          <w:rFonts w:ascii="Arial" w:hAnsi="Arial" w:cs="Arial"/>
          <w:sz w:val="18"/>
          <w:szCs w:val="18"/>
        </w:rPr>
      </w:pPr>
      <w:r>
        <w:rPr>
          <w:rFonts w:ascii="Arial" w:hAnsi="Arial" w:cs="Arial"/>
          <w:sz w:val="18"/>
          <w:szCs w:val="18"/>
        </w:rPr>
        <w:t xml:space="preserve">Bank </w:t>
      </w:r>
      <w:r w:rsidRPr="00E50D08">
        <w:rPr>
          <w:rFonts w:ascii="Arial" w:hAnsi="Arial" w:cs="Arial"/>
          <w:sz w:val="18"/>
          <w:szCs w:val="18"/>
        </w:rPr>
        <w:t>do</w:t>
      </w:r>
      <w:r>
        <w:rPr>
          <w:rFonts w:ascii="Arial" w:hAnsi="Arial" w:cs="Arial"/>
          <w:sz w:val="18"/>
          <w:szCs w:val="18"/>
        </w:rPr>
        <w:t>es</w:t>
      </w:r>
      <w:r w:rsidRPr="00E50D08">
        <w:rPr>
          <w:rFonts w:ascii="Arial" w:hAnsi="Arial" w:cs="Arial"/>
          <w:sz w:val="18"/>
          <w:szCs w:val="18"/>
        </w:rPr>
        <w:t xml:space="preserve"> not undertake, nor facilitate, transactions which are designed to achieve tax results that are contrary to the intention of tax legislation.  </w:t>
      </w:r>
    </w:p>
    <w:p w14:paraId="1E036FD8" w14:textId="77777777" w:rsidR="0013292E" w:rsidRPr="00E50D08" w:rsidRDefault="0013292E" w:rsidP="0013292E">
      <w:pPr>
        <w:rPr>
          <w:rFonts w:ascii="Arial" w:hAnsi="Arial" w:cs="Arial"/>
          <w:sz w:val="18"/>
          <w:szCs w:val="18"/>
        </w:rPr>
      </w:pPr>
    </w:p>
    <w:p w14:paraId="04E67C2D" w14:textId="77777777" w:rsidR="0013292E" w:rsidRPr="00E50D08" w:rsidRDefault="0013292E" w:rsidP="0013292E">
      <w:pPr>
        <w:rPr>
          <w:rFonts w:ascii="Arial" w:hAnsi="Arial" w:cs="Arial"/>
          <w:sz w:val="18"/>
          <w:szCs w:val="18"/>
        </w:rPr>
      </w:pPr>
      <w:r w:rsidRPr="00E50D08">
        <w:rPr>
          <w:rFonts w:ascii="Arial" w:hAnsi="Arial" w:cs="Arial"/>
          <w:sz w:val="18"/>
          <w:szCs w:val="18"/>
        </w:rPr>
        <w:t>SBI’s strategy for managing risk with respect to tax planning is to ensure all transactions have a clear and appropriate / substantial business purpose and to obtain expert, objective advice and opinions on specific tax matters</w:t>
      </w:r>
      <w:r>
        <w:rPr>
          <w:rFonts w:ascii="Arial" w:hAnsi="Arial" w:cs="Arial"/>
          <w:sz w:val="18"/>
          <w:szCs w:val="18"/>
        </w:rPr>
        <w:t>.</w:t>
      </w:r>
    </w:p>
    <w:p w14:paraId="1936817F" w14:textId="77777777" w:rsidR="0013292E" w:rsidRPr="00E50D08" w:rsidRDefault="0013292E" w:rsidP="0013292E">
      <w:pPr>
        <w:rPr>
          <w:rFonts w:ascii="Arial" w:hAnsi="Arial" w:cs="Arial"/>
          <w:b/>
          <w:i/>
          <w:sz w:val="18"/>
          <w:szCs w:val="18"/>
        </w:rPr>
      </w:pPr>
    </w:p>
    <w:p w14:paraId="5B12B2FC" w14:textId="77777777" w:rsidR="0013292E" w:rsidRPr="00E50D08" w:rsidRDefault="0013292E" w:rsidP="0013292E">
      <w:pPr>
        <w:rPr>
          <w:rFonts w:ascii="Arial" w:hAnsi="Arial" w:cs="Arial"/>
          <w:sz w:val="18"/>
          <w:szCs w:val="18"/>
        </w:rPr>
      </w:pPr>
      <w:r w:rsidRPr="00E50D08">
        <w:rPr>
          <w:rFonts w:ascii="Arial" w:hAnsi="Arial" w:cs="Arial"/>
          <w:sz w:val="18"/>
          <w:szCs w:val="18"/>
        </w:rPr>
        <w:t xml:space="preserve">The CFO has a responsibility to appraise potential tax-based decisions arising from the underlying focus on tax cost.  </w:t>
      </w:r>
    </w:p>
    <w:p w14:paraId="7769632E" w14:textId="77777777" w:rsidR="0013292E" w:rsidRPr="00E50D08" w:rsidRDefault="0013292E" w:rsidP="0013292E">
      <w:pPr>
        <w:rPr>
          <w:rFonts w:ascii="Arial" w:hAnsi="Arial" w:cs="Arial"/>
          <w:sz w:val="18"/>
          <w:szCs w:val="18"/>
        </w:rPr>
      </w:pPr>
    </w:p>
    <w:p w14:paraId="210EE2A9" w14:textId="77777777" w:rsidR="0013292E" w:rsidRPr="00E50D08" w:rsidRDefault="0013292E" w:rsidP="0013292E">
      <w:pPr>
        <w:rPr>
          <w:rFonts w:ascii="Arial" w:hAnsi="Arial" w:cs="Arial"/>
          <w:sz w:val="18"/>
          <w:szCs w:val="18"/>
        </w:rPr>
      </w:pPr>
      <w:r>
        <w:rPr>
          <w:rFonts w:ascii="Arial" w:hAnsi="Arial" w:cs="Arial"/>
          <w:sz w:val="18"/>
          <w:szCs w:val="18"/>
        </w:rPr>
        <w:t xml:space="preserve">Following </w:t>
      </w:r>
      <w:r w:rsidRPr="00E50D08">
        <w:rPr>
          <w:rFonts w:ascii="Arial" w:hAnsi="Arial" w:cs="Arial"/>
          <w:sz w:val="18"/>
          <w:szCs w:val="18"/>
        </w:rPr>
        <w:t xml:space="preserve">set </w:t>
      </w:r>
      <w:r>
        <w:rPr>
          <w:rFonts w:ascii="Arial" w:hAnsi="Arial" w:cs="Arial"/>
          <w:sz w:val="18"/>
          <w:szCs w:val="18"/>
        </w:rPr>
        <w:t xml:space="preserve">of </w:t>
      </w:r>
      <w:r w:rsidRPr="00E50D08">
        <w:rPr>
          <w:rFonts w:ascii="Arial" w:hAnsi="Arial" w:cs="Arial"/>
          <w:sz w:val="18"/>
          <w:szCs w:val="18"/>
        </w:rPr>
        <w:t xml:space="preserve">specific criteria </w:t>
      </w:r>
      <w:r>
        <w:rPr>
          <w:rFonts w:ascii="Arial" w:hAnsi="Arial" w:cs="Arial"/>
          <w:sz w:val="18"/>
          <w:szCs w:val="18"/>
        </w:rPr>
        <w:t xml:space="preserve">need </w:t>
      </w:r>
      <w:r w:rsidRPr="00E50D08">
        <w:rPr>
          <w:rFonts w:ascii="Arial" w:hAnsi="Arial" w:cs="Arial"/>
          <w:sz w:val="18"/>
          <w:szCs w:val="18"/>
        </w:rPr>
        <w:t>to be assessed in the decision-making process:</w:t>
      </w:r>
    </w:p>
    <w:p w14:paraId="531A261D" w14:textId="77777777" w:rsidR="0013292E" w:rsidRPr="00E50D08" w:rsidRDefault="0013292E" w:rsidP="0013292E">
      <w:pPr>
        <w:rPr>
          <w:rFonts w:ascii="Arial" w:hAnsi="Arial" w:cs="Arial"/>
          <w:sz w:val="18"/>
          <w:szCs w:val="18"/>
        </w:rPr>
      </w:pPr>
    </w:p>
    <w:p w14:paraId="2D3513A2" w14:textId="77777777" w:rsidR="0013292E" w:rsidRPr="00E50D08" w:rsidRDefault="0013292E" w:rsidP="00412886">
      <w:pPr>
        <w:pStyle w:val="ListParagraph"/>
        <w:numPr>
          <w:ilvl w:val="0"/>
          <w:numId w:val="19"/>
        </w:numPr>
        <w:tabs>
          <w:tab w:val="left" w:pos="1701"/>
        </w:tabs>
        <w:contextualSpacing w:val="0"/>
        <w:rPr>
          <w:rFonts w:ascii="Arial" w:hAnsi="Arial" w:cs="Arial"/>
          <w:sz w:val="18"/>
          <w:szCs w:val="18"/>
        </w:rPr>
      </w:pPr>
      <w:r w:rsidRPr="00E50D08">
        <w:rPr>
          <w:rFonts w:ascii="Arial" w:hAnsi="Arial" w:cs="Arial"/>
          <w:sz w:val="18"/>
          <w:szCs w:val="18"/>
        </w:rPr>
        <w:t xml:space="preserve">Reputation;  </w:t>
      </w:r>
    </w:p>
    <w:p w14:paraId="683EF34F" w14:textId="77777777" w:rsidR="0013292E" w:rsidRPr="00E50D08" w:rsidRDefault="0013292E" w:rsidP="00412886">
      <w:pPr>
        <w:pStyle w:val="ListParagraph"/>
        <w:numPr>
          <w:ilvl w:val="0"/>
          <w:numId w:val="19"/>
        </w:numPr>
        <w:tabs>
          <w:tab w:val="left" w:pos="1701"/>
        </w:tabs>
        <w:contextualSpacing w:val="0"/>
        <w:rPr>
          <w:rFonts w:ascii="Arial" w:hAnsi="Arial" w:cs="Arial"/>
          <w:sz w:val="18"/>
          <w:szCs w:val="18"/>
        </w:rPr>
      </w:pPr>
      <w:r w:rsidRPr="00E50D08">
        <w:rPr>
          <w:rFonts w:ascii="Arial" w:hAnsi="Arial" w:cs="Arial"/>
          <w:sz w:val="18"/>
          <w:szCs w:val="18"/>
        </w:rPr>
        <w:t xml:space="preserve">Commercial purpose;  </w:t>
      </w:r>
    </w:p>
    <w:p w14:paraId="52090626" w14:textId="77777777" w:rsidR="0013292E" w:rsidRPr="00E50D08" w:rsidRDefault="0013292E" w:rsidP="00412886">
      <w:pPr>
        <w:pStyle w:val="ListParagraph"/>
        <w:numPr>
          <w:ilvl w:val="0"/>
          <w:numId w:val="19"/>
        </w:numPr>
        <w:tabs>
          <w:tab w:val="left" w:pos="1701"/>
        </w:tabs>
        <w:contextualSpacing w:val="0"/>
        <w:rPr>
          <w:rFonts w:ascii="Arial" w:hAnsi="Arial" w:cs="Arial"/>
          <w:sz w:val="18"/>
          <w:szCs w:val="18"/>
        </w:rPr>
      </w:pPr>
      <w:r w:rsidRPr="00E50D08">
        <w:rPr>
          <w:rFonts w:ascii="Arial" w:hAnsi="Arial" w:cs="Arial"/>
          <w:sz w:val="18"/>
          <w:szCs w:val="18"/>
        </w:rPr>
        <w:t xml:space="preserve">Technical analysis;  </w:t>
      </w:r>
    </w:p>
    <w:p w14:paraId="3F3DC196" w14:textId="77777777" w:rsidR="0013292E" w:rsidRPr="00E50D08" w:rsidRDefault="0013292E" w:rsidP="00412886">
      <w:pPr>
        <w:pStyle w:val="ListParagraph"/>
        <w:numPr>
          <w:ilvl w:val="0"/>
          <w:numId w:val="19"/>
        </w:numPr>
        <w:tabs>
          <w:tab w:val="left" w:pos="1701"/>
        </w:tabs>
        <w:contextualSpacing w:val="0"/>
        <w:rPr>
          <w:rFonts w:ascii="Arial" w:hAnsi="Arial" w:cs="Arial"/>
          <w:sz w:val="18"/>
          <w:szCs w:val="18"/>
        </w:rPr>
      </w:pPr>
      <w:r w:rsidRPr="00E50D08">
        <w:rPr>
          <w:rFonts w:ascii="Arial" w:hAnsi="Arial" w:cs="Arial"/>
          <w:sz w:val="18"/>
          <w:szCs w:val="18"/>
        </w:rPr>
        <w:t xml:space="preserve">Financial impact; and  </w:t>
      </w:r>
    </w:p>
    <w:p w14:paraId="3F3872E8" w14:textId="77777777" w:rsidR="0013292E" w:rsidRPr="00E50D08" w:rsidRDefault="0013292E" w:rsidP="00412886">
      <w:pPr>
        <w:pStyle w:val="ListParagraph"/>
        <w:numPr>
          <w:ilvl w:val="0"/>
          <w:numId w:val="19"/>
        </w:numPr>
        <w:tabs>
          <w:tab w:val="left" w:pos="1701"/>
        </w:tabs>
        <w:contextualSpacing w:val="0"/>
        <w:rPr>
          <w:rFonts w:ascii="Arial" w:hAnsi="Arial" w:cs="Arial"/>
          <w:sz w:val="18"/>
          <w:szCs w:val="18"/>
        </w:rPr>
      </w:pPr>
      <w:r w:rsidRPr="00E50D08">
        <w:rPr>
          <w:rFonts w:ascii="Arial" w:hAnsi="Arial" w:cs="Arial"/>
          <w:sz w:val="18"/>
          <w:szCs w:val="18"/>
        </w:rPr>
        <w:t xml:space="preserve">Operational capability.  </w:t>
      </w:r>
    </w:p>
    <w:p w14:paraId="2A0F172D" w14:textId="77777777" w:rsidR="00412886" w:rsidRDefault="00412886" w:rsidP="0013292E">
      <w:pPr>
        <w:rPr>
          <w:rFonts w:ascii="Arial" w:hAnsi="Arial" w:cs="Arial"/>
          <w:b/>
          <w:iCs/>
          <w:sz w:val="24"/>
          <w:szCs w:val="24"/>
        </w:rPr>
      </w:pPr>
    </w:p>
    <w:p w14:paraId="739CF8D5" w14:textId="53100EA8" w:rsidR="0013292E" w:rsidRPr="00E50D08" w:rsidRDefault="0013292E" w:rsidP="0013292E">
      <w:pPr>
        <w:rPr>
          <w:rFonts w:ascii="Arial" w:hAnsi="Arial" w:cs="Arial"/>
          <w:b/>
          <w:iCs/>
          <w:sz w:val="24"/>
          <w:szCs w:val="24"/>
        </w:rPr>
      </w:pPr>
      <w:r w:rsidRPr="00E50D08">
        <w:rPr>
          <w:rFonts w:ascii="Arial" w:hAnsi="Arial" w:cs="Arial"/>
          <w:b/>
          <w:iCs/>
          <w:sz w:val="24"/>
          <w:szCs w:val="24"/>
        </w:rPr>
        <w:t>Level of acceptable tax risk</w:t>
      </w:r>
    </w:p>
    <w:p w14:paraId="6802F950" w14:textId="77777777" w:rsidR="0013292E" w:rsidRPr="00E50D08" w:rsidRDefault="0013292E" w:rsidP="0013292E">
      <w:pPr>
        <w:rPr>
          <w:rFonts w:ascii="Arial" w:hAnsi="Arial" w:cs="Arial"/>
          <w:b/>
          <w:i/>
          <w:sz w:val="18"/>
          <w:szCs w:val="18"/>
        </w:rPr>
      </w:pPr>
    </w:p>
    <w:p w14:paraId="55236EAB" w14:textId="77777777" w:rsidR="0013292E" w:rsidRPr="00E50D08" w:rsidRDefault="0013292E" w:rsidP="0013292E">
      <w:pPr>
        <w:rPr>
          <w:rFonts w:ascii="Arial" w:hAnsi="Arial" w:cs="Arial"/>
          <w:sz w:val="18"/>
          <w:szCs w:val="18"/>
        </w:rPr>
      </w:pPr>
      <w:r>
        <w:rPr>
          <w:rFonts w:ascii="Arial" w:hAnsi="Arial" w:cs="Arial"/>
          <w:sz w:val="18"/>
          <w:szCs w:val="18"/>
        </w:rPr>
        <w:t>SBI UK Ltd.</w:t>
      </w:r>
      <w:r w:rsidRPr="00E50D08">
        <w:rPr>
          <w:rFonts w:ascii="Arial" w:hAnsi="Arial" w:cs="Arial"/>
          <w:sz w:val="18"/>
          <w:szCs w:val="18"/>
        </w:rPr>
        <w:t xml:space="preserve"> has a low appetite for tax risk and is proactive in ensuring that it remains within this appetite level, escalating potential breaches at the earliest opportunity.  Managing tax risk at </w:t>
      </w:r>
      <w:r>
        <w:rPr>
          <w:rFonts w:ascii="Arial" w:hAnsi="Arial" w:cs="Arial"/>
          <w:sz w:val="18"/>
          <w:szCs w:val="18"/>
        </w:rPr>
        <w:t>SBI UK Ltd.</w:t>
      </w:r>
      <w:r w:rsidRPr="00E50D08">
        <w:rPr>
          <w:rFonts w:ascii="Arial" w:hAnsi="Arial" w:cs="Arial"/>
          <w:sz w:val="18"/>
          <w:szCs w:val="18"/>
        </w:rPr>
        <w:t xml:space="preserve"> involves:  </w:t>
      </w:r>
    </w:p>
    <w:p w14:paraId="4B597295" w14:textId="77777777" w:rsidR="0013292E" w:rsidRPr="00E50D08" w:rsidRDefault="0013292E" w:rsidP="0013292E">
      <w:pPr>
        <w:rPr>
          <w:rFonts w:ascii="Arial" w:hAnsi="Arial" w:cs="Arial"/>
          <w:sz w:val="18"/>
          <w:szCs w:val="18"/>
        </w:rPr>
      </w:pPr>
    </w:p>
    <w:p w14:paraId="418D9D83" w14:textId="77777777" w:rsidR="0013292E" w:rsidRPr="00E50D08" w:rsidRDefault="0013292E" w:rsidP="0013292E">
      <w:pPr>
        <w:pStyle w:val="ListParagraph"/>
        <w:numPr>
          <w:ilvl w:val="0"/>
          <w:numId w:val="18"/>
        </w:numPr>
        <w:spacing w:after="160" w:line="259" w:lineRule="auto"/>
        <w:rPr>
          <w:rFonts w:ascii="Arial" w:hAnsi="Arial" w:cs="Arial"/>
          <w:sz w:val="18"/>
          <w:szCs w:val="18"/>
        </w:rPr>
      </w:pPr>
      <w:r w:rsidRPr="00E50D08">
        <w:rPr>
          <w:rFonts w:ascii="Arial" w:hAnsi="Arial" w:cs="Arial"/>
          <w:sz w:val="18"/>
          <w:szCs w:val="18"/>
        </w:rPr>
        <w:t xml:space="preserve">Building and maintaining an awareness of tax risk within the organisation and an understanding of who owns it; and  </w:t>
      </w:r>
    </w:p>
    <w:p w14:paraId="70E08D31" w14:textId="77777777" w:rsidR="0013292E" w:rsidRPr="00E50D08" w:rsidRDefault="0013292E" w:rsidP="0013292E">
      <w:pPr>
        <w:pStyle w:val="ListParagraph"/>
        <w:numPr>
          <w:ilvl w:val="0"/>
          <w:numId w:val="18"/>
        </w:numPr>
        <w:spacing w:after="160" w:line="259" w:lineRule="auto"/>
        <w:rPr>
          <w:rFonts w:ascii="Arial" w:hAnsi="Arial" w:cs="Arial"/>
          <w:sz w:val="18"/>
          <w:szCs w:val="18"/>
        </w:rPr>
      </w:pPr>
      <w:r w:rsidRPr="00E50D08">
        <w:rPr>
          <w:rFonts w:ascii="Arial" w:hAnsi="Arial" w:cs="Arial"/>
          <w:sz w:val="18"/>
          <w:szCs w:val="18"/>
        </w:rPr>
        <w:t xml:space="preserve">Operating a process by which tax risks are identified, measured, </w:t>
      </w:r>
      <w:proofErr w:type="gramStart"/>
      <w:r w:rsidRPr="00E50D08">
        <w:rPr>
          <w:rFonts w:ascii="Arial" w:hAnsi="Arial" w:cs="Arial"/>
          <w:sz w:val="18"/>
          <w:szCs w:val="18"/>
        </w:rPr>
        <w:t>managed</w:t>
      </w:r>
      <w:proofErr w:type="gramEnd"/>
      <w:r w:rsidRPr="00E50D08">
        <w:rPr>
          <w:rFonts w:ascii="Arial" w:hAnsi="Arial" w:cs="Arial"/>
          <w:sz w:val="18"/>
          <w:szCs w:val="18"/>
        </w:rPr>
        <w:t xml:space="preserve"> and reported.  </w:t>
      </w:r>
    </w:p>
    <w:p w14:paraId="71959280" w14:textId="77777777" w:rsidR="0013292E" w:rsidRPr="00E50D08" w:rsidRDefault="0013292E" w:rsidP="0013292E">
      <w:pPr>
        <w:rPr>
          <w:rFonts w:ascii="Arial" w:hAnsi="Arial" w:cs="Arial"/>
          <w:sz w:val="18"/>
          <w:szCs w:val="18"/>
          <w:lang w:eastAsia="en-US"/>
        </w:rPr>
      </w:pPr>
    </w:p>
    <w:p w14:paraId="12222287" w14:textId="77777777" w:rsidR="0013292E" w:rsidRPr="00E50D08" w:rsidRDefault="0013292E" w:rsidP="0013292E">
      <w:pPr>
        <w:pStyle w:val="Heading2"/>
        <w:numPr>
          <w:ilvl w:val="0"/>
          <w:numId w:val="0"/>
        </w:numPr>
        <w:rPr>
          <w:rFonts w:ascii="Arial" w:hAnsi="Arial" w:cs="Arial"/>
          <w:sz w:val="18"/>
          <w:szCs w:val="18"/>
        </w:rPr>
      </w:pPr>
      <w:r>
        <w:rPr>
          <w:rFonts w:ascii="Arial" w:hAnsi="Arial" w:cs="Arial"/>
          <w:sz w:val="18"/>
          <w:szCs w:val="18"/>
        </w:rPr>
        <w:t xml:space="preserve">Bank </w:t>
      </w:r>
      <w:r w:rsidRPr="00E50D08">
        <w:rPr>
          <w:rFonts w:ascii="Arial" w:hAnsi="Arial" w:cs="Arial"/>
          <w:sz w:val="18"/>
          <w:szCs w:val="18"/>
        </w:rPr>
        <w:t>manage</w:t>
      </w:r>
      <w:r>
        <w:rPr>
          <w:rFonts w:ascii="Arial" w:hAnsi="Arial" w:cs="Arial"/>
          <w:sz w:val="18"/>
          <w:szCs w:val="18"/>
        </w:rPr>
        <w:t>s</w:t>
      </w:r>
      <w:r w:rsidRPr="00E50D08">
        <w:rPr>
          <w:rFonts w:ascii="Arial" w:hAnsi="Arial" w:cs="Arial"/>
          <w:sz w:val="18"/>
          <w:szCs w:val="18"/>
        </w:rPr>
        <w:t xml:space="preserve"> operational tax risks by establishing and managing tax governance processes to ensure full compliance with relevant tax filing obligations and disclosures in all jurisdictions.</w:t>
      </w:r>
    </w:p>
    <w:p w14:paraId="4293496B" w14:textId="77777777" w:rsidR="0013292E" w:rsidRPr="00E50D08" w:rsidRDefault="0013292E" w:rsidP="0013292E">
      <w:pPr>
        <w:rPr>
          <w:rFonts w:ascii="Arial" w:hAnsi="Arial" w:cs="Arial"/>
          <w:b/>
          <w:i/>
          <w:sz w:val="18"/>
          <w:szCs w:val="18"/>
        </w:rPr>
      </w:pPr>
      <w:r w:rsidRPr="00E50D08">
        <w:rPr>
          <w:rFonts w:ascii="Arial" w:hAnsi="Arial" w:cs="Arial"/>
          <w:b/>
          <w:iCs/>
          <w:sz w:val="24"/>
          <w:szCs w:val="24"/>
        </w:rPr>
        <w:t>Working with the taxation authorities</w:t>
      </w:r>
    </w:p>
    <w:p w14:paraId="27746670" w14:textId="77777777" w:rsidR="0013292E" w:rsidRPr="00E50D08" w:rsidRDefault="0013292E" w:rsidP="0013292E">
      <w:pPr>
        <w:rPr>
          <w:rFonts w:ascii="Arial" w:hAnsi="Arial" w:cs="Arial"/>
          <w:b/>
          <w:i/>
          <w:sz w:val="18"/>
          <w:szCs w:val="18"/>
        </w:rPr>
      </w:pPr>
    </w:p>
    <w:p w14:paraId="378AA4FD" w14:textId="77777777" w:rsidR="0013292E" w:rsidRPr="00E50D08" w:rsidRDefault="0013292E" w:rsidP="0013292E">
      <w:pPr>
        <w:rPr>
          <w:rFonts w:ascii="Arial" w:hAnsi="Arial" w:cs="Arial"/>
          <w:sz w:val="18"/>
          <w:szCs w:val="18"/>
        </w:rPr>
      </w:pPr>
      <w:r>
        <w:rPr>
          <w:rFonts w:ascii="Arial" w:hAnsi="Arial" w:cs="Arial"/>
          <w:sz w:val="18"/>
          <w:szCs w:val="18"/>
        </w:rPr>
        <w:t>Bank is</w:t>
      </w:r>
      <w:r w:rsidRPr="00E50D08">
        <w:rPr>
          <w:rFonts w:ascii="Arial" w:hAnsi="Arial" w:cs="Arial"/>
          <w:sz w:val="18"/>
          <w:szCs w:val="18"/>
        </w:rPr>
        <w:t xml:space="preserve"> transparent in our interaction with all taxation authorities and maintain an open and honest relationship based on collaboration and integrity. </w:t>
      </w:r>
    </w:p>
    <w:p w14:paraId="5CE850A1" w14:textId="77777777" w:rsidR="0013292E" w:rsidRPr="00E50D08" w:rsidRDefault="0013292E" w:rsidP="0013292E">
      <w:pPr>
        <w:rPr>
          <w:rFonts w:ascii="Arial" w:hAnsi="Arial" w:cs="Arial"/>
          <w:sz w:val="18"/>
          <w:szCs w:val="18"/>
        </w:rPr>
      </w:pPr>
    </w:p>
    <w:p w14:paraId="531B5FBF" w14:textId="5A9493CD" w:rsidR="0013292E" w:rsidRDefault="0013292E" w:rsidP="00AE52D4">
      <w:pPr>
        <w:rPr>
          <w:rFonts w:asciiTheme="majorHAnsi" w:eastAsiaTheme="majorEastAsia" w:hAnsiTheme="majorHAnsi" w:cstheme="majorBidi"/>
          <w:b/>
          <w:color w:val="00B0F0"/>
          <w:kern w:val="0"/>
          <w:sz w:val="28"/>
          <w:szCs w:val="18"/>
          <w:lang w:eastAsia="en-US"/>
        </w:rPr>
      </w:pPr>
      <w:r w:rsidRPr="00E50D08">
        <w:rPr>
          <w:rFonts w:ascii="Arial" w:hAnsi="Arial" w:cs="Arial"/>
          <w:sz w:val="18"/>
          <w:szCs w:val="18"/>
        </w:rPr>
        <w:t xml:space="preserve">Issues with taxation authorities are resolved in a timely manner and where a difference of opinion arises, we work to resolve these quickly and efficiently. </w:t>
      </w:r>
    </w:p>
    <w:p w14:paraId="4EC6C662" w14:textId="179E4F53" w:rsidR="00176928" w:rsidRPr="008436C5" w:rsidRDefault="00176928" w:rsidP="00F82556">
      <w:pPr>
        <w:rPr>
          <w:b/>
          <w:sz w:val="28"/>
        </w:rPr>
      </w:pPr>
    </w:p>
    <w:sectPr w:rsidR="00176928" w:rsidRPr="008436C5" w:rsidSect="009C52A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8EF30" w14:textId="77777777" w:rsidR="00D22D27" w:rsidRDefault="00D22D27" w:rsidP="009C52A1">
      <w:r>
        <w:separator/>
      </w:r>
    </w:p>
  </w:endnote>
  <w:endnote w:type="continuationSeparator" w:id="0">
    <w:p w14:paraId="43DFBC2B" w14:textId="77777777" w:rsidR="00D22D27" w:rsidRDefault="00D22D27" w:rsidP="009C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421054"/>
      <w:docPartObj>
        <w:docPartGallery w:val="Page Numbers (Bottom of Page)"/>
        <w:docPartUnique/>
      </w:docPartObj>
    </w:sdtPr>
    <w:sdtEndPr>
      <w:rPr>
        <w:color w:val="7F7F7F" w:themeColor="background1" w:themeShade="7F"/>
        <w:spacing w:val="60"/>
      </w:rPr>
    </w:sdtEndPr>
    <w:sdtContent>
      <w:p w14:paraId="18F139BE" w14:textId="653D51B8" w:rsidR="000A76C5" w:rsidRDefault="000A76C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90115" w:rsidRPr="00190115">
          <w:rPr>
            <w:b/>
            <w:bCs/>
            <w:noProof/>
          </w:rPr>
          <w:t>2</w:t>
        </w:r>
        <w:r>
          <w:rPr>
            <w:b/>
            <w:bCs/>
            <w:noProof/>
          </w:rPr>
          <w:fldChar w:fldCharType="end"/>
        </w:r>
        <w:r>
          <w:rPr>
            <w:b/>
            <w:bCs/>
          </w:rPr>
          <w:t xml:space="preserve"> | </w:t>
        </w:r>
        <w:r>
          <w:rPr>
            <w:color w:val="7F7F7F" w:themeColor="background1" w:themeShade="7F"/>
            <w:spacing w:val="60"/>
          </w:rPr>
          <w:t>Page</w:t>
        </w:r>
      </w:p>
    </w:sdtContent>
  </w:sdt>
  <w:p w14:paraId="7940E4F1" w14:textId="77777777" w:rsidR="000A76C5" w:rsidRDefault="000A76C5">
    <w:pPr>
      <w:pStyle w:val="Footer"/>
    </w:pPr>
  </w:p>
  <w:p w14:paraId="499BF739" w14:textId="77777777" w:rsidR="000A76C5" w:rsidRDefault="000A76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005200"/>
      <w:docPartObj>
        <w:docPartGallery w:val="Page Numbers (Bottom of Page)"/>
        <w:docPartUnique/>
      </w:docPartObj>
    </w:sdtPr>
    <w:sdtEndPr>
      <w:rPr>
        <w:color w:val="7F7F7F" w:themeColor="background1" w:themeShade="7F"/>
        <w:spacing w:val="60"/>
      </w:rPr>
    </w:sdtEndPr>
    <w:sdtContent>
      <w:p w14:paraId="0B6C7DF2" w14:textId="013B437C" w:rsidR="000A76C5" w:rsidRDefault="000A76C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90115" w:rsidRPr="00190115">
          <w:rPr>
            <w:b/>
            <w:bCs/>
            <w:noProof/>
          </w:rPr>
          <w:t>1</w:t>
        </w:r>
        <w:r>
          <w:rPr>
            <w:b/>
            <w:bCs/>
            <w:noProof/>
          </w:rPr>
          <w:fldChar w:fldCharType="end"/>
        </w:r>
        <w:r>
          <w:rPr>
            <w:b/>
            <w:bCs/>
          </w:rPr>
          <w:t xml:space="preserve"> | </w:t>
        </w:r>
        <w:r>
          <w:rPr>
            <w:color w:val="7F7F7F" w:themeColor="background1" w:themeShade="7F"/>
            <w:spacing w:val="60"/>
          </w:rPr>
          <w:t>Page</w:t>
        </w:r>
      </w:p>
    </w:sdtContent>
  </w:sdt>
  <w:p w14:paraId="5C2868A1" w14:textId="77777777" w:rsidR="000A76C5" w:rsidRDefault="000A7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98923" w14:textId="77777777" w:rsidR="00D22D27" w:rsidRDefault="00D22D27" w:rsidP="009C52A1">
      <w:r>
        <w:separator/>
      </w:r>
    </w:p>
  </w:footnote>
  <w:footnote w:type="continuationSeparator" w:id="0">
    <w:p w14:paraId="6296982B" w14:textId="77777777" w:rsidR="00D22D27" w:rsidRDefault="00D22D27" w:rsidP="009C5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4150" w14:textId="59724136" w:rsidR="008436C5" w:rsidRDefault="008436C5" w:rsidP="008436C5">
    <w:pPr>
      <w:pStyle w:val="Header"/>
    </w:pPr>
  </w:p>
  <w:p w14:paraId="35DD971B" w14:textId="77777777" w:rsidR="001F4B4C" w:rsidRDefault="001F4B4C" w:rsidP="001F4B4C">
    <w:pPr>
      <w:pStyle w:val="Header"/>
    </w:pPr>
    <w:r w:rsidRPr="007537CB">
      <w:rPr>
        <w:noProof/>
      </w:rPr>
      <w:drawing>
        <wp:inline distT="0" distB="0" distL="0" distR="0" wp14:anchorId="7C9E2A6A" wp14:editId="5ACE2FE0">
          <wp:extent cx="1242060" cy="432643"/>
          <wp:effectExtent l="0" t="0" r="0" b="5715"/>
          <wp:docPr id="6" name="Picture 6" descr="F:\SBIUK -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BIUK - Maste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2024" cy="446564"/>
                  </a:xfrm>
                  <a:prstGeom prst="rect">
                    <a:avLst/>
                  </a:prstGeom>
                  <a:noFill/>
                  <a:ln>
                    <a:noFill/>
                  </a:ln>
                </pic:spPr>
              </pic:pic>
            </a:graphicData>
          </a:graphic>
        </wp:inline>
      </w:drawing>
    </w:r>
    <w:r w:rsidRPr="00A76800">
      <w:t xml:space="preserve"> </w:t>
    </w:r>
  </w:p>
  <w:p w14:paraId="10FAB27D" w14:textId="77777777" w:rsidR="001F4B4C" w:rsidRDefault="001F4B4C" w:rsidP="001F4B4C">
    <w:pPr>
      <w:pStyle w:val="Header"/>
    </w:pPr>
    <w:r w:rsidRPr="00B9045B">
      <w:t>State Bank of India</w:t>
    </w:r>
    <w:r>
      <w:t xml:space="preserve"> (UK) Limited</w:t>
    </w:r>
  </w:p>
  <w:p w14:paraId="2785824B" w14:textId="77777777" w:rsidR="000A76C5" w:rsidRDefault="000A76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DBC6" w14:textId="3A30F4DE" w:rsidR="00A76800" w:rsidRDefault="001F4B4C">
    <w:pPr>
      <w:pStyle w:val="Header"/>
    </w:pPr>
    <w:r w:rsidRPr="007537CB">
      <w:rPr>
        <w:noProof/>
      </w:rPr>
      <w:drawing>
        <wp:inline distT="0" distB="0" distL="0" distR="0" wp14:anchorId="032EB47B" wp14:editId="33211269">
          <wp:extent cx="1242060" cy="432643"/>
          <wp:effectExtent l="0" t="0" r="0" b="5715"/>
          <wp:docPr id="1" name="Picture 1" descr="F:\SBIUK -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BIUK - Maste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2024" cy="446564"/>
                  </a:xfrm>
                  <a:prstGeom prst="rect">
                    <a:avLst/>
                  </a:prstGeom>
                  <a:noFill/>
                  <a:ln>
                    <a:noFill/>
                  </a:ln>
                </pic:spPr>
              </pic:pic>
            </a:graphicData>
          </a:graphic>
        </wp:inline>
      </w:drawing>
    </w:r>
    <w:r w:rsidR="00A76800" w:rsidRPr="00A76800">
      <w:t xml:space="preserve"> </w:t>
    </w:r>
  </w:p>
  <w:p w14:paraId="58D40C6D" w14:textId="0F44BB9C" w:rsidR="000A76C5" w:rsidRDefault="00A76800">
    <w:pPr>
      <w:pStyle w:val="Header"/>
    </w:pPr>
    <w:r w:rsidRPr="00B9045B">
      <w:t>State Bank of India</w:t>
    </w:r>
    <w:r>
      <w:t xml:space="preserve"> </w:t>
    </w:r>
    <w:r w:rsidR="001F4B4C">
      <w:t>(</w:t>
    </w:r>
    <w:r>
      <w:t>UK</w:t>
    </w:r>
    <w:r w:rsidR="001F4B4C">
      <w:t>) Limited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00F1A"/>
    <w:multiLevelType w:val="multilevel"/>
    <w:tmpl w:val="B0509FF4"/>
    <w:lvl w:ilvl="0">
      <w:start w:val="1"/>
      <w:numFmt w:val="decimal"/>
      <w:lvlText w:val="%1."/>
      <w:lvlJc w:val="left"/>
      <w:pPr>
        <w:ind w:left="720" w:hanging="360"/>
      </w:pPr>
    </w:lvl>
    <w:lvl w:ilvl="1">
      <w:start w:val="1"/>
      <w:numFmt w:val="decimal"/>
      <w:isLgl/>
      <w:lvlText w:val="%1.%2"/>
      <w:lvlJc w:val="left"/>
      <w:pPr>
        <w:ind w:left="1080" w:hanging="720"/>
      </w:pPr>
      <w:rPr>
        <w:rFonts w:hint="default"/>
        <w:b/>
        <w:color w:val="00B0F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614F25"/>
    <w:multiLevelType w:val="hybridMultilevel"/>
    <w:tmpl w:val="368AC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A87269"/>
    <w:multiLevelType w:val="multilevel"/>
    <w:tmpl w:val="C02860A0"/>
    <w:lvl w:ilvl="0">
      <w:start w:val="1"/>
      <w:numFmt w:val="decimal"/>
      <w:pStyle w:val="Heading1"/>
      <w:lvlText w:val="%1"/>
      <w:lvlJc w:val="left"/>
      <w:pPr>
        <w:tabs>
          <w:tab w:val="num" w:pos="709"/>
        </w:tabs>
        <w:ind w:left="709" w:hanging="709"/>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709"/>
        </w:tabs>
        <w:ind w:left="709" w:hanging="709"/>
      </w:pPr>
    </w:lvl>
    <w:lvl w:ilvl="3">
      <w:start w:val="1"/>
      <w:numFmt w:val="lowerLetter"/>
      <w:pStyle w:val="Heading4"/>
      <w:lvlText w:val="(%4)"/>
      <w:lvlJc w:val="left"/>
      <w:pPr>
        <w:tabs>
          <w:tab w:val="num" w:pos="1417"/>
        </w:tabs>
        <w:ind w:left="1417" w:hanging="708"/>
      </w:pPr>
    </w:lvl>
    <w:lvl w:ilvl="4">
      <w:start w:val="1"/>
      <w:numFmt w:val="bullet"/>
      <w:pStyle w:val="Heading5"/>
      <w:lvlText w:val="•"/>
      <w:lvlJc w:val="left"/>
      <w:pPr>
        <w:tabs>
          <w:tab w:val="num" w:pos="2126"/>
        </w:tabs>
        <w:ind w:left="2126" w:hanging="709"/>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7D4471"/>
    <w:multiLevelType w:val="hybridMultilevel"/>
    <w:tmpl w:val="0068EF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06090"/>
    <w:multiLevelType w:val="hybridMultilevel"/>
    <w:tmpl w:val="9FAC00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30AEA"/>
    <w:multiLevelType w:val="multilevel"/>
    <w:tmpl w:val="EE980714"/>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EB1DDF"/>
    <w:multiLevelType w:val="hybridMultilevel"/>
    <w:tmpl w:val="6472C9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753C9"/>
    <w:multiLevelType w:val="hybridMultilevel"/>
    <w:tmpl w:val="1D3611DA"/>
    <w:lvl w:ilvl="0" w:tplc="0809000B">
      <w:start w:val="1"/>
      <w:numFmt w:val="bullet"/>
      <w:lvlText w:val=""/>
      <w:lvlJc w:val="left"/>
      <w:pPr>
        <w:tabs>
          <w:tab w:val="num" w:pos="720"/>
        </w:tabs>
        <w:ind w:left="720" w:hanging="360"/>
      </w:pPr>
      <w:rPr>
        <w:rFonts w:ascii="Wingdings" w:hAnsi="Wingdings" w:hint="default"/>
      </w:rPr>
    </w:lvl>
    <w:lvl w:ilvl="1" w:tplc="02D8837E">
      <w:start w:val="1"/>
      <w:numFmt w:val="bullet"/>
      <w:lvlText w:val=""/>
      <w:lvlJc w:val="left"/>
      <w:pPr>
        <w:tabs>
          <w:tab w:val="num" w:pos="1440"/>
        </w:tabs>
        <w:ind w:left="1440" w:hanging="360"/>
      </w:pPr>
      <w:rPr>
        <w:rFonts w:ascii="Wingdings" w:hAnsi="Wingdings" w:hint="default"/>
      </w:rPr>
    </w:lvl>
    <w:lvl w:ilvl="2" w:tplc="EEBA148C">
      <w:start w:val="1"/>
      <w:numFmt w:val="bullet"/>
      <w:lvlText w:val=""/>
      <w:lvlJc w:val="left"/>
      <w:pPr>
        <w:tabs>
          <w:tab w:val="num" w:pos="2160"/>
        </w:tabs>
        <w:ind w:left="2160" w:hanging="360"/>
      </w:pPr>
      <w:rPr>
        <w:rFonts w:ascii="Wingdings" w:hAnsi="Wingdings" w:hint="default"/>
      </w:rPr>
    </w:lvl>
    <w:lvl w:ilvl="3" w:tplc="7FFEBA18">
      <w:start w:val="1"/>
      <w:numFmt w:val="bullet"/>
      <w:lvlText w:val=""/>
      <w:lvlJc w:val="left"/>
      <w:pPr>
        <w:tabs>
          <w:tab w:val="num" w:pos="2880"/>
        </w:tabs>
        <w:ind w:left="2880" w:hanging="360"/>
      </w:pPr>
      <w:rPr>
        <w:rFonts w:ascii="Wingdings" w:hAnsi="Wingdings" w:hint="default"/>
      </w:rPr>
    </w:lvl>
    <w:lvl w:ilvl="4" w:tplc="E2963104" w:tentative="1">
      <w:start w:val="1"/>
      <w:numFmt w:val="bullet"/>
      <w:lvlText w:val=""/>
      <w:lvlJc w:val="left"/>
      <w:pPr>
        <w:tabs>
          <w:tab w:val="num" w:pos="3600"/>
        </w:tabs>
        <w:ind w:left="3600" w:hanging="360"/>
      </w:pPr>
      <w:rPr>
        <w:rFonts w:ascii="Wingdings" w:hAnsi="Wingdings" w:hint="default"/>
      </w:rPr>
    </w:lvl>
    <w:lvl w:ilvl="5" w:tplc="B1C665A4" w:tentative="1">
      <w:start w:val="1"/>
      <w:numFmt w:val="bullet"/>
      <w:lvlText w:val=""/>
      <w:lvlJc w:val="left"/>
      <w:pPr>
        <w:tabs>
          <w:tab w:val="num" w:pos="4320"/>
        </w:tabs>
        <w:ind w:left="4320" w:hanging="360"/>
      </w:pPr>
      <w:rPr>
        <w:rFonts w:ascii="Wingdings" w:hAnsi="Wingdings" w:hint="default"/>
      </w:rPr>
    </w:lvl>
    <w:lvl w:ilvl="6" w:tplc="CD9C6926" w:tentative="1">
      <w:start w:val="1"/>
      <w:numFmt w:val="bullet"/>
      <w:lvlText w:val=""/>
      <w:lvlJc w:val="left"/>
      <w:pPr>
        <w:tabs>
          <w:tab w:val="num" w:pos="5040"/>
        </w:tabs>
        <w:ind w:left="5040" w:hanging="360"/>
      </w:pPr>
      <w:rPr>
        <w:rFonts w:ascii="Wingdings" w:hAnsi="Wingdings" w:hint="default"/>
      </w:rPr>
    </w:lvl>
    <w:lvl w:ilvl="7" w:tplc="2C841800" w:tentative="1">
      <w:start w:val="1"/>
      <w:numFmt w:val="bullet"/>
      <w:lvlText w:val=""/>
      <w:lvlJc w:val="left"/>
      <w:pPr>
        <w:tabs>
          <w:tab w:val="num" w:pos="5760"/>
        </w:tabs>
        <w:ind w:left="5760" w:hanging="360"/>
      </w:pPr>
      <w:rPr>
        <w:rFonts w:ascii="Wingdings" w:hAnsi="Wingdings" w:hint="default"/>
      </w:rPr>
    </w:lvl>
    <w:lvl w:ilvl="8" w:tplc="193A24A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D97F03"/>
    <w:multiLevelType w:val="hybridMultilevel"/>
    <w:tmpl w:val="B9D21D68"/>
    <w:lvl w:ilvl="0" w:tplc="0809000B">
      <w:start w:val="1"/>
      <w:numFmt w:val="bullet"/>
      <w:lvlText w:val=""/>
      <w:lvlJc w:val="left"/>
      <w:pPr>
        <w:tabs>
          <w:tab w:val="num" w:pos="720"/>
        </w:tabs>
        <w:ind w:left="720" w:hanging="360"/>
      </w:pPr>
      <w:rPr>
        <w:rFonts w:ascii="Wingdings" w:hAnsi="Wingdings" w:hint="default"/>
      </w:rPr>
    </w:lvl>
    <w:lvl w:ilvl="1" w:tplc="B0DECF0A">
      <w:start w:val="1"/>
      <w:numFmt w:val="bullet"/>
      <w:lvlText w:val=""/>
      <w:lvlJc w:val="left"/>
      <w:pPr>
        <w:tabs>
          <w:tab w:val="num" w:pos="1440"/>
        </w:tabs>
        <w:ind w:left="1440" w:hanging="360"/>
      </w:pPr>
      <w:rPr>
        <w:rFonts w:ascii="Wingdings" w:hAnsi="Wingdings" w:hint="default"/>
      </w:rPr>
    </w:lvl>
    <w:lvl w:ilvl="2" w:tplc="4D787704">
      <w:start w:val="1"/>
      <w:numFmt w:val="bullet"/>
      <w:lvlText w:val=""/>
      <w:lvlJc w:val="left"/>
      <w:pPr>
        <w:tabs>
          <w:tab w:val="num" w:pos="2160"/>
        </w:tabs>
        <w:ind w:left="2160" w:hanging="360"/>
      </w:pPr>
      <w:rPr>
        <w:rFonts w:ascii="Wingdings" w:hAnsi="Wingdings" w:hint="default"/>
      </w:rPr>
    </w:lvl>
    <w:lvl w:ilvl="3" w:tplc="46F481E8">
      <w:start w:val="1"/>
      <w:numFmt w:val="bullet"/>
      <w:lvlText w:val=""/>
      <w:lvlJc w:val="left"/>
      <w:pPr>
        <w:tabs>
          <w:tab w:val="num" w:pos="2880"/>
        </w:tabs>
        <w:ind w:left="2880" w:hanging="360"/>
      </w:pPr>
      <w:rPr>
        <w:rFonts w:ascii="Wingdings" w:hAnsi="Wingdings" w:hint="default"/>
      </w:rPr>
    </w:lvl>
    <w:lvl w:ilvl="4" w:tplc="173A56F4" w:tentative="1">
      <w:start w:val="1"/>
      <w:numFmt w:val="bullet"/>
      <w:lvlText w:val=""/>
      <w:lvlJc w:val="left"/>
      <w:pPr>
        <w:tabs>
          <w:tab w:val="num" w:pos="3600"/>
        </w:tabs>
        <w:ind w:left="3600" w:hanging="360"/>
      </w:pPr>
      <w:rPr>
        <w:rFonts w:ascii="Wingdings" w:hAnsi="Wingdings" w:hint="default"/>
      </w:rPr>
    </w:lvl>
    <w:lvl w:ilvl="5" w:tplc="396A097A" w:tentative="1">
      <w:start w:val="1"/>
      <w:numFmt w:val="bullet"/>
      <w:lvlText w:val=""/>
      <w:lvlJc w:val="left"/>
      <w:pPr>
        <w:tabs>
          <w:tab w:val="num" w:pos="4320"/>
        </w:tabs>
        <w:ind w:left="4320" w:hanging="360"/>
      </w:pPr>
      <w:rPr>
        <w:rFonts w:ascii="Wingdings" w:hAnsi="Wingdings" w:hint="default"/>
      </w:rPr>
    </w:lvl>
    <w:lvl w:ilvl="6" w:tplc="FB78C46A" w:tentative="1">
      <w:start w:val="1"/>
      <w:numFmt w:val="bullet"/>
      <w:lvlText w:val=""/>
      <w:lvlJc w:val="left"/>
      <w:pPr>
        <w:tabs>
          <w:tab w:val="num" w:pos="5040"/>
        </w:tabs>
        <w:ind w:left="5040" w:hanging="360"/>
      </w:pPr>
      <w:rPr>
        <w:rFonts w:ascii="Wingdings" w:hAnsi="Wingdings" w:hint="default"/>
      </w:rPr>
    </w:lvl>
    <w:lvl w:ilvl="7" w:tplc="95CE9E72" w:tentative="1">
      <w:start w:val="1"/>
      <w:numFmt w:val="bullet"/>
      <w:lvlText w:val=""/>
      <w:lvlJc w:val="left"/>
      <w:pPr>
        <w:tabs>
          <w:tab w:val="num" w:pos="5760"/>
        </w:tabs>
        <w:ind w:left="5760" w:hanging="360"/>
      </w:pPr>
      <w:rPr>
        <w:rFonts w:ascii="Wingdings" w:hAnsi="Wingdings" w:hint="default"/>
      </w:rPr>
    </w:lvl>
    <w:lvl w:ilvl="8" w:tplc="F774C83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37CEB"/>
    <w:multiLevelType w:val="hybridMultilevel"/>
    <w:tmpl w:val="412E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80AE8"/>
    <w:multiLevelType w:val="hybridMultilevel"/>
    <w:tmpl w:val="0D84EBD0"/>
    <w:lvl w:ilvl="0" w:tplc="F68AC044">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34208D"/>
    <w:multiLevelType w:val="hybridMultilevel"/>
    <w:tmpl w:val="CCEC3926"/>
    <w:lvl w:ilvl="0" w:tplc="0FE069F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544B2B"/>
    <w:multiLevelType w:val="multilevel"/>
    <w:tmpl w:val="5E5C7F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00B0F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AC34CB3"/>
    <w:multiLevelType w:val="hybridMultilevel"/>
    <w:tmpl w:val="6FDA700C"/>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C74588"/>
    <w:multiLevelType w:val="hybridMultilevel"/>
    <w:tmpl w:val="84BCAA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FA77EA"/>
    <w:multiLevelType w:val="hybridMultilevel"/>
    <w:tmpl w:val="561000FC"/>
    <w:lvl w:ilvl="0" w:tplc="AB405EC8">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608102CA"/>
    <w:multiLevelType w:val="hybridMultilevel"/>
    <w:tmpl w:val="2FAA02AC"/>
    <w:lvl w:ilvl="0" w:tplc="700859F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AC4731"/>
    <w:multiLevelType w:val="hybridMultilevel"/>
    <w:tmpl w:val="3054519E"/>
    <w:lvl w:ilvl="0" w:tplc="0BFAB90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154084"/>
    <w:multiLevelType w:val="multilevel"/>
    <w:tmpl w:val="97C4DE2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6CFD6ABD"/>
    <w:multiLevelType w:val="hybridMultilevel"/>
    <w:tmpl w:val="2FAA02AC"/>
    <w:lvl w:ilvl="0" w:tplc="700859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0660F5"/>
    <w:multiLevelType w:val="hybridMultilevel"/>
    <w:tmpl w:val="BC3E06E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F31743C"/>
    <w:multiLevelType w:val="hybridMultilevel"/>
    <w:tmpl w:val="B3B6BC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F5C8F"/>
    <w:multiLevelType w:val="multilevel"/>
    <w:tmpl w:val="6E648842"/>
    <w:lvl w:ilvl="0">
      <w:start w:val="1"/>
      <w:numFmt w:val="decimal"/>
      <w:lvlText w:val="%1"/>
      <w:lvlJc w:val="left"/>
      <w:pPr>
        <w:tabs>
          <w:tab w:val="num" w:pos="709"/>
        </w:tabs>
        <w:ind w:left="709" w:hanging="709"/>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17"/>
        </w:tabs>
        <w:ind w:left="1417" w:hanging="708"/>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26"/>
        </w:tabs>
        <w:ind w:left="2126" w:hanging="709"/>
      </w:pPr>
      <w:rPr>
        <w:rFonts w:ascii="Symbol" w:hAnsi="Symbol"/>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14"/>
  </w:num>
  <w:num w:numId="2">
    <w:abstractNumId w:val="2"/>
  </w:num>
  <w:num w:numId="3">
    <w:abstractNumId w:val="1"/>
  </w:num>
  <w:num w:numId="4">
    <w:abstractNumId w:val="17"/>
  </w:num>
  <w:num w:numId="5">
    <w:abstractNumId w:val="22"/>
  </w:num>
  <w:num w:numId="6">
    <w:abstractNumId w:val="11"/>
  </w:num>
  <w:num w:numId="7">
    <w:abstractNumId w:val="18"/>
  </w:num>
  <w:num w:numId="8">
    <w:abstractNumId w:val="15"/>
  </w:num>
  <w:num w:numId="9">
    <w:abstractNumId w:val="21"/>
  </w:num>
  <w:num w:numId="10">
    <w:abstractNumId w:val="9"/>
  </w:num>
  <w:num w:numId="11">
    <w:abstractNumId w:val="19"/>
  </w:num>
  <w:num w:numId="12">
    <w:abstractNumId w:val="16"/>
  </w:num>
  <w:num w:numId="13">
    <w:abstractNumId w:val="13"/>
  </w:num>
  <w:num w:numId="14">
    <w:abstractNumId w:val="12"/>
  </w:num>
  <w:num w:numId="15">
    <w:abstractNumId w:val="4"/>
  </w:num>
  <w:num w:numId="16">
    <w:abstractNumId w:val="0"/>
  </w:num>
  <w:num w:numId="17">
    <w:abstractNumId w:val="6"/>
  </w:num>
  <w:num w:numId="18">
    <w:abstractNumId w:val="3"/>
  </w:num>
  <w:num w:numId="19">
    <w:abstractNumId w:val="20"/>
  </w:num>
  <w:num w:numId="20">
    <w:abstractNumId w:val="5"/>
  </w:num>
  <w:num w:numId="21">
    <w:abstractNumId w:val="8"/>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58"/>
    <w:rsid w:val="00006251"/>
    <w:rsid w:val="00007799"/>
    <w:rsid w:val="00017419"/>
    <w:rsid w:val="00057FCE"/>
    <w:rsid w:val="000910BD"/>
    <w:rsid w:val="000A76C5"/>
    <w:rsid w:val="001024BD"/>
    <w:rsid w:val="0013292E"/>
    <w:rsid w:val="00176928"/>
    <w:rsid w:val="00190115"/>
    <w:rsid w:val="001F4B4C"/>
    <w:rsid w:val="00257140"/>
    <w:rsid w:val="00362671"/>
    <w:rsid w:val="00380D2B"/>
    <w:rsid w:val="00384714"/>
    <w:rsid w:val="00391BB6"/>
    <w:rsid w:val="003C3C5B"/>
    <w:rsid w:val="003E654B"/>
    <w:rsid w:val="003F50C9"/>
    <w:rsid w:val="003F7B83"/>
    <w:rsid w:val="00412886"/>
    <w:rsid w:val="00461248"/>
    <w:rsid w:val="0047351C"/>
    <w:rsid w:val="00481A91"/>
    <w:rsid w:val="004D5702"/>
    <w:rsid w:val="005B5805"/>
    <w:rsid w:val="00684959"/>
    <w:rsid w:val="006A62AB"/>
    <w:rsid w:val="006B38B7"/>
    <w:rsid w:val="006F4A58"/>
    <w:rsid w:val="00706F8A"/>
    <w:rsid w:val="007249E0"/>
    <w:rsid w:val="007530E7"/>
    <w:rsid w:val="00785AEC"/>
    <w:rsid w:val="007A1B44"/>
    <w:rsid w:val="007E2CD2"/>
    <w:rsid w:val="00816730"/>
    <w:rsid w:val="008436C5"/>
    <w:rsid w:val="00872462"/>
    <w:rsid w:val="00913895"/>
    <w:rsid w:val="00997AA1"/>
    <w:rsid w:val="009C52A1"/>
    <w:rsid w:val="009E1E9E"/>
    <w:rsid w:val="00A33F84"/>
    <w:rsid w:val="00A76800"/>
    <w:rsid w:val="00A94CF6"/>
    <w:rsid w:val="00AE52D4"/>
    <w:rsid w:val="00B02665"/>
    <w:rsid w:val="00BF60F6"/>
    <w:rsid w:val="00C11EAC"/>
    <w:rsid w:val="00C20A88"/>
    <w:rsid w:val="00C63E45"/>
    <w:rsid w:val="00CA348C"/>
    <w:rsid w:val="00CA3693"/>
    <w:rsid w:val="00D225C3"/>
    <w:rsid w:val="00D22D27"/>
    <w:rsid w:val="00E45F9F"/>
    <w:rsid w:val="00E50F30"/>
    <w:rsid w:val="00E91B3E"/>
    <w:rsid w:val="00EC74BC"/>
    <w:rsid w:val="00EE1301"/>
    <w:rsid w:val="00F61417"/>
    <w:rsid w:val="00F67C01"/>
    <w:rsid w:val="00F75ED9"/>
    <w:rsid w:val="00F82556"/>
    <w:rsid w:val="00F91E9A"/>
    <w:rsid w:val="00FB1433"/>
    <w:rsid w:val="00FC11A6"/>
    <w:rsid w:val="00FC629E"/>
    <w:rsid w:val="00FD7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3F833"/>
  <w15:chartTrackingRefBased/>
  <w15:docId w15:val="{5F137798-1D6E-4CE8-A06D-10F9735E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2A1"/>
    <w:pPr>
      <w:spacing w:after="0" w:line="240" w:lineRule="auto"/>
    </w:pPr>
    <w:rPr>
      <w:rFonts w:ascii="Trebuchet MS" w:eastAsia="Times New Roman" w:hAnsi="Trebuchet MS" w:cs="Times New Roman"/>
      <w:kern w:val="16"/>
      <w:sz w:val="20"/>
      <w:szCs w:val="20"/>
      <w:lang w:eastAsia="en-GB"/>
    </w:rPr>
  </w:style>
  <w:style w:type="paragraph" w:styleId="Heading1">
    <w:name w:val="heading 1"/>
    <w:basedOn w:val="Normal"/>
    <w:next w:val="NormalIndent"/>
    <w:link w:val="Heading1Char"/>
    <w:qFormat/>
    <w:rsid w:val="009C52A1"/>
    <w:pPr>
      <w:numPr>
        <w:numId w:val="2"/>
      </w:numPr>
      <w:spacing w:after="240"/>
      <w:outlineLvl w:val="0"/>
    </w:pPr>
  </w:style>
  <w:style w:type="paragraph" w:styleId="Heading2">
    <w:name w:val="heading 2"/>
    <w:basedOn w:val="Heading1"/>
    <w:next w:val="NormalIndent"/>
    <w:link w:val="Heading2Char"/>
    <w:qFormat/>
    <w:rsid w:val="009C52A1"/>
    <w:pPr>
      <w:numPr>
        <w:ilvl w:val="1"/>
      </w:numPr>
      <w:outlineLvl w:val="1"/>
    </w:pPr>
  </w:style>
  <w:style w:type="paragraph" w:styleId="Heading3">
    <w:name w:val="heading 3"/>
    <w:basedOn w:val="Heading2"/>
    <w:next w:val="NormalIndent"/>
    <w:link w:val="Heading3Char"/>
    <w:qFormat/>
    <w:rsid w:val="009C52A1"/>
    <w:pPr>
      <w:numPr>
        <w:ilvl w:val="2"/>
      </w:numPr>
      <w:outlineLvl w:val="2"/>
    </w:pPr>
  </w:style>
  <w:style w:type="paragraph" w:styleId="Heading4">
    <w:name w:val="heading 4"/>
    <w:basedOn w:val="Heading3"/>
    <w:link w:val="Heading4Char"/>
    <w:qFormat/>
    <w:rsid w:val="009C52A1"/>
    <w:pPr>
      <w:numPr>
        <w:ilvl w:val="3"/>
      </w:numPr>
      <w:spacing w:after="120"/>
      <w:outlineLvl w:val="3"/>
    </w:pPr>
  </w:style>
  <w:style w:type="paragraph" w:styleId="Heading5">
    <w:name w:val="heading 5"/>
    <w:basedOn w:val="Heading4"/>
    <w:link w:val="Heading5Char"/>
    <w:qFormat/>
    <w:rsid w:val="009C52A1"/>
    <w:pPr>
      <w:numPr>
        <w:ilvl w:val="4"/>
      </w:numPr>
      <w:spacing w:after="0"/>
      <w:outlineLvl w:val="4"/>
    </w:pPr>
  </w:style>
  <w:style w:type="paragraph" w:styleId="Heading6">
    <w:name w:val="heading 6"/>
    <w:basedOn w:val="Heading5"/>
    <w:next w:val="NormalIndent"/>
    <w:link w:val="Heading6Char"/>
    <w:qFormat/>
    <w:rsid w:val="009C52A1"/>
    <w:pPr>
      <w:numPr>
        <w:ilvl w:val="5"/>
        <w:numId w:val="5"/>
      </w:numPr>
      <w:spacing w:after="240"/>
      <w:outlineLvl w:val="5"/>
    </w:pPr>
  </w:style>
  <w:style w:type="paragraph" w:styleId="Heading7">
    <w:name w:val="heading 7"/>
    <w:basedOn w:val="Normal"/>
    <w:next w:val="Normal"/>
    <w:link w:val="Heading7Char"/>
    <w:qFormat/>
    <w:rsid w:val="009C52A1"/>
    <w:pPr>
      <w:numPr>
        <w:ilvl w:val="6"/>
        <w:numId w:val="5"/>
      </w:numPr>
      <w:outlineLvl w:val="6"/>
    </w:pPr>
  </w:style>
  <w:style w:type="paragraph" w:styleId="Heading8">
    <w:name w:val="heading 8"/>
    <w:basedOn w:val="Normal"/>
    <w:next w:val="Normal"/>
    <w:link w:val="Heading8Char"/>
    <w:qFormat/>
    <w:rsid w:val="009C52A1"/>
    <w:pPr>
      <w:numPr>
        <w:ilvl w:val="7"/>
        <w:numId w:val="5"/>
      </w:numPr>
      <w:outlineLvl w:val="7"/>
    </w:pPr>
  </w:style>
  <w:style w:type="paragraph" w:styleId="Heading9">
    <w:name w:val="heading 9"/>
    <w:basedOn w:val="Normal"/>
    <w:next w:val="Normal"/>
    <w:link w:val="Heading9Char"/>
    <w:qFormat/>
    <w:rsid w:val="009C52A1"/>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2A1"/>
    <w:pPr>
      <w:tabs>
        <w:tab w:val="center" w:pos="4513"/>
        <w:tab w:val="right" w:pos="9026"/>
      </w:tabs>
    </w:pPr>
  </w:style>
  <w:style w:type="character" w:customStyle="1" w:styleId="HeaderChar">
    <w:name w:val="Header Char"/>
    <w:basedOn w:val="DefaultParagraphFont"/>
    <w:link w:val="Header"/>
    <w:uiPriority w:val="99"/>
    <w:rsid w:val="009C52A1"/>
  </w:style>
  <w:style w:type="paragraph" w:styleId="Footer">
    <w:name w:val="footer"/>
    <w:basedOn w:val="Normal"/>
    <w:link w:val="FooterChar"/>
    <w:uiPriority w:val="99"/>
    <w:unhideWhenUsed/>
    <w:rsid w:val="009C52A1"/>
    <w:pPr>
      <w:tabs>
        <w:tab w:val="center" w:pos="4513"/>
        <w:tab w:val="right" w:pos="9026"/>
      </w:tabs>
    </w:pPr>
  </w:style>
  <w:style w:type="character" w:customStyle="1" w:styleId="FooterChar">
    <w:name w:val="Footer Char"/>
    <w:basedOn w:val="DefaultParagraphFont"/>
    <w:link w:val="Footer"/>
    <w:uiPriority w:val="99"/>
    <w:rsid w:val="009C52A1"/>
  </w:style>
  <w:style w:type="table" w:customStyle="1" w:styleId="TableGrid1">
    <w:name w:val="Table Grid1"/>
    <w:basedOn w:val="TableNormal"/>
    <w:next w:val="TableGrid"/>
    <w:uiPriority w:val="59"/>
    <w:rsid w:val="009C52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C5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C52A1"/>
    <w:pPr>
      <w:tabs>
        <w:tab w:val="right" w:leader="dot" w:pos="8786"/>
      </w:tabs>
      <w:spacing w:after="240"/>
      <w:ind w:left="709" w:hanging="709"/>
    </w:pPr>
    <w:rPr>
      <w:b/>
      <w:noProof/>
    </w:rPr>
  </w:style>
  <w:style w:type="character" w:customStyle="1" w:styleId="Heading1Char">
    <w:name w:val="Heading 1 Char"/>
    <w:basedOn w:val="DefaultParagraphFont"/>
    <w:link w:val="Heading1"/>
    <w:rsid w:val="009C52A1"/>
    <w:rPr>
      <w:rFonts w:ascii="Trebuchet MS" w:eastAsia="Times New Roman" w:hAnsi="Trebuchet MS" w:cs="Times New Roman"/>
      <w:kern w:val="16"/>
      <w:sz w:val="20"/>
      <w:szCs w:val="20"/>
      <w:lang w:eastAsia="en-GB"/>
    </w:rPr>
  </w:style>
  <w:style w:type="character" w:customStyle="1" w:styleId="Heading2Char">
    <w:name w:val="Heading 2 Char"/>
    <w:basedOn w:val="DefaultParagraphFont"/>
    <w:link w:val="Heading2"/>
    <w:rsid w:val="009C52A1"/>
    <w:rPr>
      <w:rFonts w:ascii="Trebuchet MS" w:eastAsia="Times New Roman" w:hAnsi="Trebuchet MS" w:cs="Times New Roman"/>
      <w:kern w:val="16"/>
      <w:sz w:val="20"/>
      <w:szCs w:val="20"/>
      <w:lang w:eastAsia="en-GB"/>
    </w:rPr>
  </w:style>
  <w:style w:type="character" w:customStyle="1" w:styleId="Heading3Char">
    <w:name w:val="Heading 3 Char"/>
    <w:basedOn w:val="DefaultParagraphFont"/>
    <w:link w:val="Heading3"/>
    <w:rsid w:val="009C52A1"/>
    <w:rPr>
      <w:rFonts w:ascii="Trebuchet MS" w:eastAsia="Times New Roman" w:hAnsi="Trebuchet MS" w:cs="Times New Roman"/>
      <w:kern w:val="16"/>
      <w:sz w:val="20"/>
      <w:szCs w:val="20"/>
      <w:lang w:eastAsia="en-GB"/>
    </w:rPr>
  </w:style>
  <w:style w:type="character" w:customStyle="1" w:styleId="Heading4Char">
    <w:name w:val="Heading 4 Char"/>
    <w:basedOn w:val="DefaultParagraphFont"/>
    <w:link w:val="Heading4"/>
    <w:rsid w:val="009C52A1"/>
    <w:rPr>
      <w:rFonts w:ascii="Trebuchet MS" w:eastAsia="Times New Roman" w:hAnsi="Trebuchet MS" w:cs="Times New Roman"/>
      <w:kern w:val="16"/>
      <w:sz w:val="20"/>
      <w:szCs w:val="20"/>
      <w:lang w:eastAsia="en-GB"/>
    </w:rPr>
  </w:style>
  <w:style w:type="character" w:customStyle="1" w:styleId="Heading5Char">
    <w:name w:val="Heading 5 Char"/>
    <w:basedOn w:val="DefaultParagraphFont"/>
    <w:link w:val="Heading5"/>
    <w:rsid w:val="009C52A1"/>
    <w:rPr>
      <w:rFonts w:ascii="Trebuchet MS" w:eastAsia="Times New Roman" w:hAnsi="Trebuchet MS" w:cs="Times New Roman"/>
      <w:kern w:val="16"/>
      <w:sz w:val="20"/>
      <w:szCs w:val="20"/>
      <w:lang w:eastAsia="en-GB"/>
    </w:rPr>
  </w:style>
  <w:style w:type="paragraph" w:styleId="ListParagraph">
    <w:name w:val="List Paragraph"/>
    <w:basedOn w:val="Normal"/>
    <w:uiPriority w:val="34"/>
    <w:qFormat/>
    <w:rsid w:val="009C52A1"/>
    <w:pPr>
      <w:ind w:left="720"/>
      <w:contextualSpacing/>
    </w:pPr>
  </w:style>
  <w:style w:type="paragraph" w:styleId="NormalIndent">
    <w:name w:val="Normal Indent"/>
    <w:basedOn w:val="Normal"/>
    <w:link w:val="NormalIndentChar"/>
    <w:unhideWhenUsed/>
    <w:rsid w:val="009C52A1"/>
    <w:pPr>
      <w:ind w:left="720"/>
    </w:pPr>
  </w:style>
  <w:style w:type="character" w:customStyle="1" w:styleId="Heading6Char">
    <w:name w:val="Heading 6 Char"/>
    <w:basedOn w:val="DefaultParagraphFont"/>
    <w:link w:val="Heading6"/>
    <w:rsid w:val="009C52A1"/>
    <w:rPr>
      <w:rFonts w:ascii="Trebuchet MS" w:eastAsia="Times New Roman" w:hAnsi="Trebuchet MS" w:cs="Times New Roman"/>
      <w:kern w:val="16"/>
      <w:sz w:val="20"/>
      <w:szCs w:val="20"/>
      <w:lang w:eastAsia="en-GB"/>
    </w:rPr>
  </w:style>
  <w:style w:type="character" w:customStyle="1" w:styleId="Heading7Char">
    <w:name w:val="Heading 7 Char"/>
    <w:basedOn w:val="DefaultParagraphFont"/>
    <w:link w:val="Heading7"/>
    <w:rsid w:val="009C52A1"/>
    <w:rPr>
      <w:rFonts w:ascii="Trebuchet MS" w:eastAsia="Times New Roman" w:hAnsi="Trebuchet MS" w:cs="Times New Roman"/>
      <w:kern w:val="16"/>
      <w:sz w:val="20"/>
      <w:szCs w:val="20"/>
      <w:lang w:eastAsia="en-GB"/>
    </w:rPr>
  </w:style>
  <w:style w:type="character" w:customStyle="1" w:styleId="Heading8Char">
    <w:name w:val="Heading 8 Char"/>
    <w:basedOn w:val="DefaultParagraphFont"/>
    <w:link w:val="Heading8"/>
    <w:rsid w:val="009C52A1"/>
    <w:rPr>
      <w:rFonts w:ascii="Trebuchet MS" w:eastAsia="Times New Roman" w:hAnsi="Trebuchet MS" w:cs="Times New Roman"/>
      <w:kern w:val="16"/>
      <w:sz w:val="20"/>
      <w:szCs w:val="20"/>
      <w:lang w:eastAsia="en-GB"/>
    </w:rPr>
  </w:style>
  <w:style w:type="character" w:customStyle="1" w:styleId="Heading9Char">
    <w:name w:val="Heading 9 Char"/>
    <w:basedOn w:val="DefaultParagraphFont"/>
    <w:link w:val="Heading9"/>
    <w:rsid w:val="009C52A1"/>
    <w:rPr>
      <w:rFonts w:ascii="Trebuchet MS" w:eastAsia="Times New Roman" w:hAnsi="Trebuchet MS" w:cs="Times New Roman"/>
      <w:kern w:val="16"/>
      <w:sz w:val="20"/>
      <w:szCs w:val="20"/>
      <w:lang w:eastAsia="en-GB"/>
    </w:rPr>
  </w:style>
  <w:style w:type="character" w:styleId="CommentReference">
    <w:name w:val="annotation reference"/>
    <w:basedOn w:val="DefaultParagraphFont"/>
    <w:uiPriority w:val="99"/>
    <w:semiHidden/>
    <w:unhideWhenUsed/>
    <w:rsid w:val="0047351C"/>
    <w:rPr>
      <w:rFonts w:ascii="Trebuchet MS" w:hAnsi="Trebuchet MS"/>
      <w:sz w:val="14"/>
      <w:szCs w:val="16"/>
    </w:rPr>
  </w:style>
  <w:style w:type="paragraph" w:styleId="CommentText">
    <w:name w:val="annotation text"/>
    <w:basedOn w:val="Normal"/>
    <w:link w:val="CommentTextChar"/>
    <w:uiPriority w:val="99"/>
    <w:semiHidden/>
    <w:unhideWhenUsed/>
    <w:rsid w:val="0047351C"/>
    <w:rPr>
      <w:sz w:val="18"/>
    </w:rPr>
  </w:style>
  <w:style w:type="character" w:customStyle="1" w:styleId="CommentTextChar">
    <w:name w:val="Comment Text Char"/>
    <w:basedOn w:val="DefaultParagraphFont"/>
    <w:link w:val="CommentText"/>
    <w:uiPriority w:val="99"/>
    <w:semiHidden/>
    <w:rsid w:val="0047351C"/>
    <w:rPr>
      <w:rFonts w:ascii="Trebuchet MS" w:eastAsia="Times New Roman" w:hAnsi="Trebuchet MS" w:cs="Times New Roman"/>
      <w:kern w:val="16"/>
      <w:sz w:val="18"/>
      <w:szCs w:val="20"/>
      <w:lang w:eastAsia="en-GB"/>
    </w:rPr>
  </w:style>
  <w:style w:type="paragraph" w:styleId="BalloonText">
    <w:name w:val="Balloon Text"/>
    <w:basedOn w:val="Normal"/>
    <w:link w:val="BalloonTextChar"/>
    <w:uiPriority w:val="99"/>
    <w:semiHidden/>
    <w:unhideWhenUsed/>
    <w:rsid w:val="004735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51C"/>
    <w:rPr>
      <w:rFonts w:ascii="Segoe UI" w:eastAsia="Times New Roman" w:hAnsi="Segoe UI" w:cs="Segoe UI"/>
      <w:kern w:val="16"/>
      <w:sz w:val="18"/>
      <w:szCs w:val="18"/>
      <w:lang w:eastAsia="en-GB"/>
    </w:rPr>
  </w:style>
  <w:style w:type="table" w:customStyle="1" w:styleId="TableGrid2">
    <w:name w:val="Table Grid2"/>
    <w:basedOn w:val="TableNormal"/>
    <w:next w:val="TableGrid"/>
    <w:uiPriority w:val="59"/>
    <w:rsid w:val="007249E0"/>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Shading1-Accent4">
    <w:name w:val="Medium Shading 1 Accent 4"/>
    <w:basedOn w:val="TableNormal"/>
    <w:uiPriority w:val="63"/>
    <w:rsid w:val="009E1E9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customStyle="1" w:styleId="TableGrid3">
    <w:name w:val="Table Grid3"/>
    <w:basedOn w:val="TableNormal"/>
    <w:next w:val="TableGrid"/>
    <w:uiPriority w:val="59"/>
    <w:rsid w:val="003E654B"/>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VCEHeading1">
    <w:name w:val="IVCE Heading 1"/>
    <w:basedOn w:val="Heading1"/>
    <w:next w:val="IVCEHeading2"/>
    <w:link w:val="IVCEHeading1Char"/>
    <w:qFormat/>
    <w:rsid w:val="005B5805"/>
    <w:pPr>
      <w:keepNext/>
      <w:keepLines/>
      <w:numPr>
        <w:numId w:val="0"/>
      </w:numPr>
      <w:spacing w:before="240" w:after="0" w:line="259" w:lineRule="auto"/>
    </w:pPr>
    <w:rPr>
      <w:rFonts w:asciiTheme="majorHAnsi" w:eastAsiaTheme="majorEastAsia" w:hAnsiTheme="majorHAnsi" w:cstheme="majorBidi"/>
      <w:b/>
      <w:color w:val="00B0F0"/>
      <w:kern w:val="0"/>
      <w:sz w:val="28"/>
      <w:szCs w:val="18"/>
      <w:lang w:eastAsia="en-US"/>
    </w:rPr>
  </w:style>
  <w:style w:type="character" w:customStyle="1" w:styleId="IVCEHeading1Char">
    <w:name w:val="IVCE Heading 1 Char"/>
    <w:basedOn w:val="DefaultParagraphFont"/>
    <w:link w:val="IVCEHeading1"/>
    <w:rsid w:val="005B5805"/>
    <w:rPr>
      <w:rFonts w:asciiTheme="majorHAnsi" w:eastAsiaTheme="majorEastAsia" w:hAnsiTheme="majorHAnsi" w:cstheme="majorBidi"/>
      <w:b/>
      <w:color w:val="00B0F0"/>
      <w:sz w:val="28"/>
      <w:szCs w:val="18"/>
    </w:rPr>
  </w:style>
  <w:style w:type="paragraph" w:customStyle="1" w:styleId="IVCEHeading2">
    <w:name w:val="IVCE Heading 2"/>
    <w:basedOn w:val="Heading2"/>
    <w:next w:val="Normal"/>
    <w:link w:val="IVCEHeading2Char"/>
    <w:qFormat/>
    <w:rsid w:val="005B5805"/>
    <w:pPr>
      <w:keepNext/>
      <w:keepLines/>
      <w:numPr>
        <w:ilvl w:val="0"/>
        <w:numId w:val="0"/>
      </w:numPr>
      <w:spacing w:before="40" w:after="0" w:line="259" w:lineRule="auto"/>
    </w:pPr>
    <w:rPr>
      <w:rFonts w:asciiTheme="majorHAnsi" w:eastAsiaTheme="majorEastAsia" w:hAnsiTheme="majorHAnsi" w:cstheme="majorBidi"/>
      <w:color w:val="3D9035"/>
      <w:kern w:val="0"/>
      <w:sz w:val="26"/>
      <w:szCs w:val="26"/>
      <w:lang w:eastAsia="en-US"/>
    </w:rPr>
  </w:style>
  <w:style w:type="character" w:customStyle="1" w:styleId="IVCEHeading2Char">
    <w:name w:val="IVCE Heading 2 Char"/>
    <w:basedOn w:val="DefaultParagraphFont"/>
    <w:link w:val="IVCEHeading2"/>
    <w:rsid w:val="005B5805"/>
    <w:rPr>
      <w:rFonts w:asciiTheme="majorHAnsi" w:eastAsiaTheme="majorEastAsia" w:hAnsiTheme="majorHAnsi" w:cstheme="majorBidi"/>
      <w:color w:val="3D9035"/>
      <w:sz w:val="26"/>
      <w:szCs w:val="26"/>
    </w:rPr>
  </w:style>
  <w:style w:type="character" w:customStyle="1" w:styleId="NormalIndentChar">
    <w:name w:val="Normal Indent Char"/>
    <w:basedOn w:val="DefaultParagraphFont"/>
    <w:link w:val="NormalIndent"/>
    <w:rsid w:val="00176928"/>
    <w:rPr>
      <w:rFonts w:ascii="Trebuchet MS" w:eastAsia="Times New Roman" w:hAnsi="Trebuchet MS" w:cs="Times New Roman"/>
      <w:kern w:val="16"/>
      <w:sz w:val="20"/>
      <w:szCs w:val="20"/>
      <w:lang w:eastAsia="en-GB"/>
    </w:rPr>
  </w:style>
  <w:style w:type="paragraph" w:customStyle="1" w:styleId="Default">
    <w:name w:val="Default"/>
    <w:rsid w:val="0017692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57450-8E6D-43AF-949C-E4480144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Sa</dc:creator>
  <cp:keywords/>
  <dc:description/>
  <cp:lastModifiedBy>midofficesbiuk</cp:lastModifiedBy>
  <cp:revision>2</cp:revision>
  <cp:lastPrinted>2021-03-16T15:54:00Z</cp:lastPrinted>
  <dcterms:created xsi:type="dcterms:W3CDTF">2022-03-31T13:17:00Z</dcterms:created>
  <dcterms:modified xsi:type="dcterms:W3CDTF">2022-03-31T13:17:00Z</dcterms:modified>
</cp:coreProperties>
</file>